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58AA" w14:textId="77777777" w:rsidR="00795B93" w:rsidRDefault="00795B93" w:rsidP="00795B93">
      <w:pPr>
        <w:pStyle w:val="DocumentHeaderPage1"/>
      </w:pPr>
    </w:p>
    <w:p w14:paraId="315061BF" w14:textId="77777777" w:rsidR="00795B93" w:rsidRDefault="00795B93" w:rsidP="00795B93">
      <w:pPr>
        <w:pStyle w:val="DocumentHeaderPage1"/>
      </w:pPr>
    </w:p>
    <w:p w14:paraId="0F31C81E" w14:textId="77777777" w:rsidR="00795B93" w:rsidRDefault="00795B93" w:rsidP="00795B93">
      <w:pPr>
        <w:pStyle w:val="DocumentHeaderPage1"/>
      </w:pPr>
    </w:p>
    <w:p w14:paraId="652B1F0B" w14:textId="77777777" w:rsidR="00795B93" w:rsidRDefault="00795B93" w:rsidP="00795B93">
      <w:pPr>
        <w:pStyle w:val="DocumentHeaderPage1"/>
      </w:pPr>
    </w:p>
    <w:p w14:paraId="0064AB3D" w14:textId="77777777" w:rsidR="00795B93" w:rsidRDefault="00795B93" w:rsidP="00795B93">
      <w:pPr>
        <w:pStyle w:val="DocumentHeaderPage1"/>
      </w:pPr>
    </w:p>
    <w:p w14:paraId="040A830B" w14:textId="310A027A" w:rsidR="00795B93" w:rsidRPr="00795B93" w:rsidRDefault="00795B93" w:rsidP="00795B93">
      <w:pPr>
        <w:pStyle w:val="DocumentHeaderPage1"/>
      </w:pPr>
      <w:r w:rsidRPr="00795B93">
        <w:t>Courses Management Service (CMS)</w:t>
      </w:r>
    </w:p>
    <w:p w14:paraId="5E6BD2A1" w14:textId="2251DC9E" w:rsidR="003C4131" w:rsidRDefault="00795B93" w:rsidP="00795B93">
      <w:pPr>
        <w:pStyle w:val="DocumentHeaderPage1"/>
      </w:pPr>
      <w:r w:rsidRPr="00795B93">
        <w:t>Webinar November 2024</w:t>
      </w:r>
    </w:p>
    <w:p w14:paraId="0BA8CBFE" w14:textId="77777777" w:rsidR="00795B93" w:rsidRDefault="00795B93" w:rsidP="00795B93">
      <w:pPr>
        <w:pStyle w:val="DocumentHeaderPage1"/>
      </w:pPr>
    </w:p>
    <w:p w14:paraId="42DE2FCC" w14:textId="77777777" w:rsidR="00795B93" w:rsidRDefault="00795B93" w:rsidP="00795B93">
      <w:pPr>
        <w:pStyle w:val="DocumentHeaderPage1"/>
      </w:pPr>
    </w:p>
    <w:p w14:paraId="06553E13" w14:textId="77777777" w:rsidR="00795B93" w:rsidRDefault="00795B93" w:rsidP="00795B93">
      <w:pPr>
        <w:pStyle w:val="DocumentHeaderPage1"/>
      </w:pPr>
    </w:p>
    <w:p w14:paraId="66E3F46D" w14:textId="77777777" w:rsidR="00795B93" w:rsidRDefault="00795B93" w:rsidP="00795B93">
      <w:pPr>
        <w:pStyle w:val="DocumentHeaderPage1"/>
      </w:pPr>
    </w:p>
    <w:p w14:paraId="6EDDC729" w14:textId="77777777" w:rsidR="00795B93" w:rsidRDefault="00795B93" w:rsidP="00795B93">
      <w:pPr>
        <w:pStyle w:val="DocumentHeaderPage1"/>
      </w:pPr>
    </w:p>
    <w:p w14:paraId="0789D81C" w14:textId="77777777" w:rsidR="00795B93" w:rsidRDefault="00795B93" w:rsidP="00795B93">
      <w:pPr>
        <w:pStyle w:val="DocumentHeaderPage1"/>
      </w:pPr>
    </w:p>
    <w:p w14:paraId="4F0D7B90" w14:textId="6EFA9F03" w:rsidR="002D2AD4" w:rsidRDefault="00AA4470" w:rsidP="00795B93">
      <w:pPr>
        <w:pStyle w:val="Header1"/>
      </w:pPr>
      <w:r>
        <w:lastRenderedPageBreak/>
        <w:t>Contents</w:t>
      </w:r>
    </w:p>
    <w:p w14:paraId="659DBA22" w14:textId="15734127" w:rsidR="00AA4470" w:rsidRDefault="00AA4470" w:rsidP="002D2AD4"/>
    <w:p w14:paraId="75680995" w14:textId="38FB32DE" w:rsidR="002D2AD4" w:rsidRDefault="002D2AD4" w:rsidP="002D2AD4">
      <w:pPr>
        <w:pStyle w:val="HeaderGreen"/>
        <w:numPr>
          <w:ilvl w:val="0"/>
          <w:numId w:val="37"/>
        </w:numPr>
      </w:pPr>
      <w:r>
        <w:t xml:space="preserve">LLE </w:t>
      </w:r>
      <w:r w:rsidR="00DD5BE9">
        <w:t>u</w:t>
      </w:r>
      <w:r>
        <w:t>pdate</w:t>
      </w:r>
      <w:r>
        <w:br/>
      </w:r>
    </w:p>
    <w:p w14:paraId="5C4DD6D7" w14:textId="4FF4D20D" w:rsidR="002D2AD4" w:rsidRDefault="002D2AD4" w:rsidP="002D2AD4">
      <w:pPr>
        <w:pStyle w:val="HeaderGreen"/>
        <w:numPr>
          <w:ilvl w:val="0"/>
          <w:numId w:val="37"/>
        </w:numPr>
      </w:pPr>
      <w:r>
        <w:t xml:space="preserve">Service </w:t>
      </w:r>
      <w:r w:rsidR="00DD5BE9">
        <w:t>s</w:t>
      </w:r>
      <w:r>
        <w:t>tandards</w:t>
      </w:r>
      <w:r>
        <w:br/>
      </w:r>
    </w:p>
    <w:p w14:paraId="05E06D9C" w14:textId="5658209F" w:rsidR="002D2AD4" w:rsidRDefault="002D2AD4" w:rsidP="002D2AD4">
      <w:pPr>
        <w:pStyle w:val="HeaderGreen"/>
        <w:numPr>
          <w:ilvl w:val="0"/>
          <w:numId w:val="37"/>
        </w:numPr>
      </w:pPr>
      <w:r>
        <w:t xml:space="preserve">Course </w:t>
      </w:r>
      <w:r w:rsidR="00DD5BE9">
        <w:t>v</w:t>
      </w:r>
      <w:r>
        <w:t>alidation</w:t>
      </w:r>
      <w:r>
        <w:br/>
      </w:r>
    </w:p>
    <w:p w14:paraId="0C086139" w14:textId="251551B0" w:rsidR="002D2AD4" w:rsidRDefault="002D2AD4" w:rsidP="002D2AD4">
      <w:pPr>
        <w:pStyle w:val="HeaderGreen"/>
        <w:numPr>
          <w:ilvl w:val="0"/>
          <w:numId w:val="37"/>
        </w:numPr>
      </w:pPr>
      <w:r>
        <w:t xml:space="preserve">Course </w:t>
      </w:r>
      <w:r w:rsidR="00DD5BE9">
        <w:t>c</w:t>
      </w:r>
      <w:r>
        <w:t>ollection</w:t>
      </w:r>
      <w:r>
        <w:br/>
      </w:r>
    </w:p>
    <w:p w14:paraId="10A5A043" w14:textId="101463E3" w:rsidR="002D2AD4" w:rsidRDefault="002D2AD4" w:rsidP="002D2AD4">
      <w:pPr>
        <w:pStyle w:val="HeaderGreen"/>
        <w:numPr>
          <w:ilvl w:val="0"/>
          <w:numId w:val="37"/>
        </w:numPr>
      </w:pPr>
      <w:r>
        <w:t xml:space="preserve">Roll over </w:t>
      </w:r>
      <w:r w:rsidR="00DD5BE9">
        <w:t>p</w:t>
      </w:r>
      <w:r>
        <w:t>rocess</w:t>
      </w:r>
      <w:r>
        <w:br/>
      </w:r>
    </w:p>
    <w:p w14:paraId="35CB758D" w14:textId="307892DC" w:rsidR="002D2AD4" w:rsidRDefault="002D2AD4" w:rsidP="002D2AD4">
      <w:pPr>
        <w:pStyle w:val="HeaderGreen"/>
        <w:numPr>
          <w:ilvl w:val="0"/>
          <w:numId w:val="37"/>
        </w:numPr>
      </w:pPr>
      <w:r>
        <w:t xml:space="preserve">Key </w:t>
      </w:r>
      <w:r w:rsidR="00DD5BE9">
        <w:t>i</w:t>
      </w:r>
      <w:r>
        <w:t xml:space="preserve">nformation and </w:t>
      </w:r>
      <w:r w:rsidR="00DD5BE9">
        <w:t>b</w:t>
      </w:r>
      <w:r>
        <w:t xml:space="preserve">est </w:t>
      </w:r>
      <w:r w:rsidR="00DD5BE9">
        <w:t>p</w:t>
      </w:r>
      <w:r>
        <w:t>ractice</w:t>
      </w:r>
      <w:r>
        <w:br/>
      </w:r>
    </w:p>
    <w:p w14:paraId="6E4ECFC2" w14:textId="4691CD4C" w:rsidR="002D2AD4" w:rsidRDefault="002D2AD4" w:rsidP="002D2AD4">
      <w:pPr>
        <w:pStyle w:val="HeaderGreen"/>
        <w:numPr>
          <w:ilvl w:val="0"/>
          <w:numId w:val="37"/>
        </w:numPr>
      </w:pPr>
      <w:r>
        <w:t xml:space="preserve">Queries and </w:t>
      </w:r>
      <w:r w:rsidR="00DD5BE9">
        <w:t>g</w:t>
      </w:r>
      <w:r>
        <w:t>uidance</w:t>
      </w:r>
    </w:p>
    <w:p w14:paraId="26822614" w14:textId="77777777" w:rsidR="00AA4470" w:rsidRDefault="00AA4470" w:rsidP="00795B93">
      <w:pPr>
        <w:pStyle w:val="Header1"/>
      </w:pPr>
    </w:p>
    <w:p w14:paraId="0792E842" w14:textId="77777777" w:rsidR="00FE3648" w:rsidRDefault="00FE3648" w:rsidP="00795B93">
      <w:pPr>
        <w:pStyle w:val="Header1"/>
      </w:pPr>
    </w:p>
    <w:p w14:paraId="4DA20833" w14:textId="77777777" w:rsidR="00FE3648" w:rsidRDefault="00FE3648" w:rsidP="00795B93">
      <w:pPr>
        <w:pStyle w:val="Header1"/>
      </w:pPr>
    </w:p>
    <w:p w14:paraId="4CE1F97B" w14:textId="0E3CEF64" w:rsidR="00795B93" w:rsidRDefault="00795B93" w:rsidP="00795B93">
      <w:pPr>
        <w:pStyle w:val="Header1"/>
      </w:pPr>
      <w:r>
        <w:lastRenderedPageBreak/>
        <w:t xml:space="preserve">LLE </w:t>
      </w:r>
      <w:r w:rsidR="00DD5BE9">
        <w:t>u</w:t>
      </w:r>
      <w:r>
        <w:t>pdate</w:t>
      </w:r>
    </w:p>
    <w:p w14:paraId="7A712C7B" w14:textId="77777777" w:rsidR="00795B93" w:rsidRDefault="00795B93" w:rsidP="00795B93">
      <w:pPr>
        <w:pStyle w:val="HeaderGreen"/>
      </w:pPr>
      <w:r>
        <w:t>The Lifelong Learning Entitlement</w:t>
      </w:r>
    </w:p>
    <w:p w14:paraId="43098FA2" w14:textId="77777777" w:rsidR="00795B93" w:rsidRDefault="00795B93" w:rsidP="00795B93">
      <w:pPr>
        <w:pStyle w:val="HeaderGreen"/>
      </w:pPr>
    </w:p>
    <w:p w14:paraId="62C452D5" w14:textId="77777777" w:rsidR="00795B93" w:rsidRDefault="00795B93" w:rsidP="00795B93">
      <w:pPr>
        <w:pStyle w:val="Body12pt"/>
      </w:pPr>
      <w:r>
        <w:t xml:space="preserve">DfE is continuing the plans to deliver the Lifelong Learning Entitlement (LLE). It aims to expand </w:t>
      </w:r>
    </w:p>
    <w:p w14:paraId="20AAA1CD" w14:textId="77777777" w:rsidR="00795B93" w:rsidRDefault="00795B93" w:rsidP="00795B93">
      <w:pPr>
        <w:pStyle w:val="Body12pt"/>
      </w:pPr>
      <w:r>
        <w:t xml:space="preserve">access to high-quality, flexible education and training for adults throughout their working lives, helping </w:t>
      </w:r>
    </w:p>
    <w:p w14:paraId="4D0E08F1" w14:textId="77777777" w:rsidR="00795B93" w:rsidRDefault="00795B93" w:rsidP="00795B93">
      <w:pPr>
        <w:pStyle w:val="Body12pt"/>
      </w:pPr>
      <w:r>
        <w:t>businesses to fill skills gaps and kickstart economic growth.</w:t>
      </w:r>
    </w:p>
    <w:p w14:paraId="5A2539BE" w14:textId="77777777" w:rsidR="00795B93" w:rsidRDefault="00795B93" w:rsidP="00795B93">
      <w:pPr>
        <w:pStyle w:val="Body12pt"/>
      </w:pPr>
    </w:p>
    <w:p w14:paraId="2E79ECBA" w14:textId="77777777" w:rsidR="00795B93" w:rsidRDefault="00795B93" w:rsidP="00795B93">
      <w:pPr>
        <w:pStyle w:val="Body12pt"/>
      </w:pPr>
      <w:r>
        <w:t>They’ve a one-year postponement to the launch of the programme to:</w:t>
      </w:r>
    </w:p>
    <w:p w14:paraId="65F60C15" w14:textId="77777777" w:rsidR="00795B93" w:rsidRDefault="00795B93" w:rsidP="00795B93">
      <w:pPr>
        <w:pStyle w:val="Body12pt"/>
      </w:pPr>
    </w:p>
    <w:p w14:paraId="167B79FC" w14:textId="77777777" w:rsidR="00795B93" w:rsidRDefault="00795B93" w:rsidP="00795B93">
      <w:pPr>
        <w:pStyle w:val="Body12pt"/>
      </w:pPr>
      <w:r>
        <w:t xml:space="preserve">• ensure that the LLE fully aligns with this government’s ambitious vision for the future of the UK’s </w:t>
      </w:r>
    </w:p>
    <w:p w14:paraId="1A0366EE" w14:textId="77777777" w:rsidR="00795B93" w:rsidRDefault="00795B93" w:rsidP="00795B93">
      <w:pPr>
        <w:pStyle w:val="Body12pt"/>
      </w:pPr>
      <w:r>
        <w:t>skills landscape</w:t>
      </w:r>
    </w:p>
    <w:p w14:paraId="0F907CA6" w14:textId="77777777" w:rsidR="00795B93" w:rsidRDefault="00795B93" w:rsidP="00795B93">
      <w:pPr>
        <w:pStyle w:val="Body12pt"/>
      </w:pPr>
      <w:r>
        <w:t xml:space="preserve">• give education providers the necessary time to prepare for the launch of this new transformational </w:t>
      </w:r>
    </w:p>
    <w:p w14:paraId="350AAB05" w14:textId="317012F6" w:rsidR="00795B93" w:rsidRDefault="00795B93" w:rsidP="00795B93">
      <w:pPr>
        <w:pStyle w:val="Body12pt"/>
      </w:pPr>
      <w:r>
        <w:t>student-finance system</w:t>
      </w:r>
      <w:r>
        <w:br/>
      </w:r>
    </w:p>
    <w:p w14:paraId="754FB9ED" w14:textId="77777777" w:rsidR="00795B93" w:rsidRDefault="00795B93" w:rsidP="00795B93">
      <w:pPr>
        <w:pStyle w:val="Body12pt"/>
      </w:pPr>
      <w:r>
        <w:t xml:space="preserve">• This means the LLE will now launch in academic year 2026/27 for learners studying courses </w:t>
      </w:r>
    </w:p>
    <w:p w14:paraId="0E9CB482" w14:textId="77777777" w:rsidR="00795B93" w:rsidRDefault="00795B93" w:rsidP="00795B93">
      <w:pPr>
        <w:pStyle w:val="Body12pt"/>
      </w:pPr>
      <w:r>
        <w:t>starting on or after 1 January 2027.</w:t>
      </w:r>
    </w:p>
    <w:p w14:paraId="7C7A123B" w14:textId="77777777" w:rsidR="00795B93" w:rsidRDefault="00795B93" w:rsidP="00795B93">
      <w:pPr>
        <w:pStyle w:val="Body12pt"/>
      </w:pPr>
    </w:p>
    <w:p w14:paraId="4FEAA3E2" w14:textId="25AEA717" w:rsidR="00795B93" w:rsidRDefault="00795B93" w:rsidP="00795B93">
      <w:pPr>
        <w:pStyle w:val="Body12pt"/>
      </w:pPr>
      <w:r>
        <w:t xml:space="preserve">You can find the full information on </w:t>
      </w:r>
      <w:hyperlink r:id="rId8" w:history="1">
        <w:r w:rsidRPr="00795B93">
          <w:rPr>
            <w:rStyle w:val="Hyperlink"/>
            <w:b/>
            <w:bCs/>
          </w:rPr>
          <w:t>GOV.UK</w:t>
        </w:r>
      </w:hyperlink>
      <w:r>
        <w:t>.</w:t>
      </w:r>
    </w:p>
    <w:p w14:paraId="4C8E98EE" w14:textId="77777777" w:rsidR="00A63568" w:rsidRDefault="00A63568" w:rsidP="00795B93">
      <w:pPr>
        <w:pStyle w:val="HeaderGreen"/>
      </w:pPr>
    </w:p>
    <w:p w14:paraId="1A18D567" w14:textId="7E57364D" w:rsidR="00795B93" w:rsidRDefault="00795B93" w:rsidP="00795B93">
      <w:pPr>
        <w:pStyle w:val="HeaderGreen"/>
      </w:pPr>
      <w:r w:rsidRPr="00795B93">
        <w:t xml:space="preserve">Design </w:t>
      </w:r>
      <w:r w:rsidR="00DD5BE9">
        <w:t>p</w:t>
      </w:r>
      <w:r w:rsidRPr="00795B93">
        <w:t xml:space="preserve">rinciples </w:t>
      </w:r>
      <w:r w:rsidR="00DD5BE9">
        <w:t>o</w:t>
      </w:r>
      <w:r w:rsidRPr="00795B93">
        <w:t>f CMS</w:t>
      </w:r>
    </w:p>
    <w:p w14:paraId="32062C3A" w14:textId="77777777" w:rsidR="00A63568" w:rsidRDefault="00A63568" w:rsidP="00795B93">
      <w:pPr>
        <w:pStyle w:val="HeaderGreen"/>
      </w:pPr>
    </w:p>
    <w:p w14:paraId="7671AE66" w14:textId="513E608D" w:rsidR="00A63568" w:rsidRDefault="00A63568" w:rsidP="00A63568">
      <w:pPr>
        <w:pStyle w:val="Body12pt"/>
      </w:pPr>
      <w:r w:rsidRPr="00A63568">
        <w:t>A single database of accurate provider and course information</w:t>
      </w:r>
    </w:p>
    <w:p w14:paraId="65507CDA" w14:textId="77777777" w:rsidR="00A63568" w:rsidRDefault="00A63568" w:rsidP="00A63568">
      <w:pPr>
        <w:pStyle w:val="Body12pt"/>
      </w:pPr>
    </w:p>
    <w:p w14:paraId="23577218" w14:textId="77777777" w:rsidR="00A63568" w:rsidRDefault="00A63568" w:rsidP="00A63568">
      <w:pPr>
        <w:pStyle w:val="Body12pt"/>
      </w:pPr>
      <w:r w:rsidRPr="00A63568">
        <w:t>• Students should be able to easily find their course when they apply</w:t>
      </w:r>
    </w:p>
    <w:p w14:paraId="3ABC194B" w14:textId="6CC0B91D" w:rsidR="00A63568" w:rsidRDefault="00A63568" w:rsidP="00A63568">
      <w:pPr>
        <w:pStyle w:val="Body12pt"/>
      </w:pPr>
      <w:r w:rsidRPr="00A63568">
        <w:t>• A student is not made eligible for support unless the course they are on is designated</w:t>
      </w:r>
    </w:p>
    <w:p w14:paraId="35AEA5F2" w14:textId="77777777" w:rsidR="00A63568" w:rsidRDefault="00A63568" w:rsidP="00A63568">
      <w:pPr>
        <w:pStyle w:val="Body12pt"/>
      </w:pPr>
    </w:p>
    <w:p w14:paraId="7A387F3C" w14:textId="77777777" w:rsidR="00A63568" w:rsidRDefault="00A63568" w:rsidP="00A63568">
      <w:pPr>
        <w:pStyle w:val="HeaderGreen"/>
      </w:pPr>
    </w:p>
    <w:p w14:paraId="72FE64CC" w14:textId="158DC12C" w:rsidR="00A63568" w:rsidRDefault="00A63568" w:rsidP="00A63568">
      <w:pPr>
        <w:pStyle w:val="HeaderGreen"/>
      </w:pPr>
      <w:r w:rsidRPr="00A63568">
        <w:lastRenderedPageBreak/>
        <w:t>Course Management Service</w:t>
      </w:r>
    </w:p>
    <w:p w14:paraId="4E27EE2D" w14:textId="77777777" w:rsidR="00A63568" w:rsidRDefault="00A63568" w:rsidP="00A63568">
      <w:pPr>
        <w:pStyle w:val="HeaderGreen"/>
      </w:pPr>
    </w:p>
    <w:p w14:paraId="52214513" w14:textId="77777777" w:rsidR="00A63568" w:rsidRDefault="00A63568" w:rsidP="00A63568">
      <w:pPr>
        <w:pStyle w:val="Body12pt"/>
      </w:pPr>
      <w:r>
        <w:t>CMS links into SIS, BAS and other SLC portals to provide course</w:t>
      </w:r>
    </w:p>
    <w:p w14:paraId="6163C756" w14:textId="77777777" w:rsidR="00A63568" w:rsidRDefault="00A63568" w:rsidP="00A63568">
      <w:pPr>
        <w:pStyle w:val="Body12pt"/>
      </w:pPr>
      <w:r>
        <w:t>information for assessments. It allows SLC to</w:t>
      </w:r>
    </w:p>
    <w:p w14:paraId="5B5544F2" w14:textId="77777777" w:rsidR="00A63568" w:rsidRDefault="00A63568" w:rsidP="00A63568">
      <w:pPr>
        <w:pStyle w:val="Body12pt"/>
      </w:pPr>
    </w:p>
    <w:p w14:paraId="4BE31B7D" w14:textId="73E2D9EC" w:rsidR="00A63568" w:rsidRDefault="00A63568" w:rsidP="00A63568">
      <w:pPr>
        <w:pStyle w:val="Body12pt"/>
      </w:pPr>
      <w:r>
        <w:t xml:space="preserve">• </w:t>
      </w:r>
      <w:r w:rsidR="00DD5BE9">
        <w:t>h</w:t>
      </w:r>
      <w:r>
        <w:t>old a complete list of designated courses</w:t>
      </w:r>
    </w:p>
    <w:p w14:paraId="62A25DCE" w14:textId="04611B4A" w:rsidR="00A63568" w:rsidRDefault="00A63568" w:rsidP="00A63568">
      <w:pPr>
        <w:pStyle w:val="Body12pt"/>
      </w:pPr>
      <w:r>
        <w:t xml:space="preserve">• </w:t>
      </w:r>
      <w:r w:rsidR="00DD5BE9">
        <w:t>e</w:t>
      </w:r>
      <w:r>
        <w:t>nsure that payments are accurate, paid on time and to the right</w:t>
      </w:r>
    </w:p>
    <w:p w14:paraId="09F5880C" w14:textId="77777777" w:rsidR="00A63568" w:rsidRDefault="00A63568" w:rsidP="00A63568">
      <w:pPr>
        <w:pStyle w:val="Body12pt"/>
      </w:pPr>
      <w:r>
        <w:t>location.</w:t>
      </w:r>
    </w:p>
    <w:p w14:paraId="2B70F087" w14:textId="3F1964EA" w:rsidR="00A63568" w:rsidRDefault="00A63568" w:rsidP="00A63568">
      <w:pPr>
        <w:pStyle w:val="Body12pt"/>
      </w:pPr>
      <w:r>
        <w:t xml:space="preserve">• </w:t>
      </w:r>
      <w:r w:rsidR="00DD5BE9">
        <w:t>c</w:t>
      </w:r>
      <w:r>
        <w:t>orrectly assess student funding applications.</w:t>
      </w:r>
    </w:p>
    <w:p w14:paraId="2E780821" w14:textId="77777777" w:rsidR="00A63568" w:rsidRDefault="00A63568" w:rsidP="00A63568">
      <w:pPr>
        <w:pStyle w:val="Body12pt"/>
      </w:pPr>
    </w:p>
    <w:p w14:paraId="26C83F6A" w14:textId="77777777" w:rsidR="00A63568" w:rsidRDefault="00A63568" w:rsidP="00A63568">
      <w:pPr>
        <w:pStyle w:val="Body12pt"/>
      </w:pPr>
      <w:r>
        <w:t>It will allow you to</w:t>
      </w:r>
    </w:p>
    <w:p w14:paraId="2256D274" w14:textId="77777777" w:rsidR="00A63568" w:rsidRDefault="00A63568" w:rsidP="00A63568">
      <w:pPr>
        <w:pStyle w:val="Body12pt"/>
      </w:pPr>
    </w:p>
    <w:p w14:paraId="6B358D36" w14:textId="7FB5A9C0" w:rsidR="00A63568" w:rsidRDefault="00A63568" w:rsidP="00A63568">
      <w:pPr>
        <w:pStyle w:val="Body12pt"/>
      </w:pPr>
      <w:r>
        <w:t xml:space="preserve">• </w:t>
      </w:r>
      <w:r w:rsidR="00DD5BE9">
        <w:t>m</w:t>
      </w:r>
      <w:r>
        <w:t>aintain and manage a central log of your course and fee</w:t>
      </w:r>
    </w:p>
    <w:p w14:paraId="00774A4E" w14:textId="77777777" w:rsidR="00A63568" w:rsidRDefault="00A63568" w:rsidP="00A63568">
      <w:pPr>
        <w:pStyle w:val="Body12pt"/>
      </w:pPr>
      <w:r>
        <w:t>information.</w:t>
      </w:r>
    </w:p>
    <w:p w14:paraId="7B6A4535" w14:textId="23A16B64" w:rsidR="00A63568" w:rsidRDefault="00A63568" w:rsidP="00A63568">
      <w:pPr>
        <w:pStyle w:val="Body12pt"/>
      </w:pPr>
      <w:r>
        <w:t xml:space="preserve">• </w:t>
      </w:r>
      <w:r w:rsidR="00DD5BE9">
        <w:t>a</w:t>
      </w:r>
      <w:r>
        <w:t>ccurately present your courses to applicants through the online</w:t>
      </w:r>
    </w:p>
    <w:p w14:paraId="47307250" w14:textId="36EE0F45" w:rsidR="00A63568" w:rsidRDefault="00A63568" w:rsidP="00A63568">
      <w:pPr>
        <w:pStyle w:val="Body12pt"/>
      </w:pPr>
      <w:r>
        <w:t>application.</w:t>
      </w:r>
    </w:p>
    <w:p w14:paraId="09B82B51" w14:textId="77777777" w:rsidR="00405FBC" w:rsidRDefault="00405FBC" w:rsidP="00A63568">
      <w:pPr>
        <w:pStyle w:val="HeaderGreen"/>
      </w:pPr>
    </w:p>
    <w:p w14:paraId="2FB5A4FE" w14:textId="25BAC8DA" w:rsidR="00A63568" w:rsidRDefault="00A63568" w:rsidP="00A63568">
      <w:pPr>
        <w:pStyle w:val="HeaderGreen"/>
      </w:pPr>
      <w:r>
        <w:t>Academic year timeline</w:t>
      </w:r>
    </w:p>
    <w:p w14:paraId="497BC308" w14:textId="77777777" w:rsidR="00A63568" w:rsidRDefault="00A63568" w:rsidP="00A63568">
      <w:pPr>
        <w:pStyle w:val="HeaderGreen"/>
      </w:pPr>
    </w:p>
    <w:p w14:paraId="13FAFEE1" w14:textId="5E01448B" w:rsidR="00A63568" w:rsidRDefault="00A63568" w:rsidP="00A63568">
      <w:pPr>
        <w:pStyle w:val="Body12ptBold"/>
      </w:pPr>
      <w:r>
        <w:t xml:space="preserve">Course submission: </w:t>
      </w:r>
    </w:p>
    <w:p w14:paraId="3DD18781" w14:textId="20A7089A" w:rsidR="00A63568" w:rsidRDefault="00A63568" w:rsidP="00A63568">
      <w:pPr>
        <w:pStyle w:val="Body12ptBold"/>
      </w:pPr>
    </w:p>
    <w:p w14:paraId="36EC6348" w14:textId="3E487716" w:rsidR="00A63568" w:rsidRPr="00A63568" w:rsidRDefault="00A63568" w:rsidP="00A63568">
      <w:pPr>
        <w:pStyle w:val="Body12ptBold"/>
        <w:numPr>
          <w:ilvl w:val="0"/>
          <w:numId w:val="7"/>
        </w:numPr>
        <w:rPr>
          <w:b w:val="0"/>
          <w:bCs w:val="0"/>
        </w:rPr>
      </w:pPr>
      <w:r w:rsidRPr="00A63568">
        <w:rPr>
          <w:b w:val="0"/>
          <w:bCs w:val="0"/>
        </w:rPr>
        <w:t xml:space="preserve">November: </w:t>
      </w:r>
      <w:r w:rsidR="00405FBC">
        <w:rPr>
          <w:b w:val="0"/>
          <w:bCs w:val="0"/>
        </w:rPr>
        <w:t>f</w:t>
      </w:r>
      <w:r w:rsidRPr="00A63568">
        <w:rPr>
          <w:b w:val="0"/>
          <w:bCs w:val="0"/>
        </w:rPr>
        <w:t>ull-time UG and Scottish PG</w:t>
      </w:r>
    </w:p>
    <w:p w14:paraId="0A06C639" w14:textId="03969095" w:rsidR="00A63568" w:rsidRPr="00A63568" w:rsidRDefault="00A63568" w:rsidP="00A63568">
      <w:pPr>
        <w:pStyle w:val="Body12ptBold"/>
        <w:numPr>
          <w:ilvl w:val="0"/>
          <w:numId w:val="7"/>
        </w:numPr>
        <w:rPr>
          <w:b w:val="0"/>
          <w:bCs w:val="0"/>
        </w:rPr>
      </w:pPr>
      <w:r w:rsidRPr="00A63568">
        <w:rPr>
          <w:b w:val="0"/>
          <w:bCs w:val="0"/>
        </w:rPr>
        <w:t xml:space="preserve">March/April: </w:t>
      </w:r>
      <w:r w:rsidR="00405FBC">
        <w:rPr>
          <w:b w:val="0"/>
          <w:bCs w:val="0"/>
        </w:rPr>
        <w:t>p</w:t>
      </w:r>
      <w:r w:rsidRPr="00A63568">
        <w:rPr>
          <w:b w:val="0"/>
          <w:bCs w:val="0"/>
        </w:rPr>
        <w:t>art-time UG</w:t>
      </w:r>
    </w:p>
    <w:p w14:paraId="011AEC05" w14:textId="14A51904" w:rsidR="00A63568" w:rsidRDefault="00A63568" w:rsidP="00A63568">
      <w:pPr>
        <w:pStyle w:val="Body12ptBold"/>
        <w:numPr>
          <w:ilvl w:val="0"/>
          <w:numId w:val="7"/>
        </w:numPr>
        <w:rPr>
          <w:b w:val="0"/>
          <w:bCs w:val="0"/>
        </w:rPr>
      </w:pPr>
      <w:r w:rsidRPr="00A63568">
        <w:rPr>
          <w:b w:val="0"/>
          <w:bCs w:val="0"/>
        </w:rPr>
        <w:t xml:space="preserve">April/May: </w:t>
      </w:r>
      <w:r w:rsidR="00405FBC">
        <w:rPr>
          <w:b w:val="0"/>
          <w:bCs w:val="0"/>
        </w:rPr>
        <w:t>p</w:t>
      </w:r>
      <w:r w:rsidRPr="00A63568">
        <w:rPr>
          <w:b w:val="0"/>
          <w:bCs w:val="0"/>
        </w:rPr>
        <w:t>ostgraduate</w:t>
      </w:r>
    </w:p>
    <w:p w14:paraId="2A9BDF87" w14:textId="77777777" w:rsidR="00405FBC" w:rsidRDefault="00405FBC" w:rsidP="00405FBC">
      <w:pPr>
        <w:pStyle w:val="Body12ptBold"/>
        <w:rPr>
          <w:b w:val="0"/>
          <w:bCs w:val="0"/>
        </w:rPr>
      </w:pPr>
    </w:p>
    <w:p w14:paraId="46921D65" w14:textId="4DA42468" w:rsidR="00405FBC" w:rsidRDefault="00405FBC" w:rsidP="00405FBC">
      <w:pPr>
        <w:pStyle w:val="Body12ptBold"/>
      </w:pPr>
      <w:r w:rsidRPr="00405FBC">
        <w:t>Validation</w:t>
      </w:r>
      <w:r>
        <w:t>:</w:t>
      </w:r>
    </w:p>
    <w:p w14:paraId="2C19CB70" w14:textId="77777777" w:rsidR="00405FBC" w:rsidRDefault="00405FBC" w:rsidP="00405FBC">
      <w:pPr>
        <w:pStyle w:val="Body12ptBold"/>
      </w:pPr>
    </w:p>
    <w:p w14:paraId="77E5AE2E" w14:textId="0B9087A9" w:rsidR="00405FBC" w:rsidRPr="00405FBC" w:rsidRDefault="00405FBC" w:rsidP="00405FBC">
      <w:pPr>
        <w:pStyle w:val="Body12ptBold"/>
        <w:numPr>
          <w:ilvl w:val="0"/>
          <w:numId w:val="8"/>
        </w:numPr>
        <w:rPr>
          <w:b w:val="0"/>
          <w:bCs w:val="0"/>
        </w:rPr>
      </w:pPr>
      <w:r w:rsidRPr="00405FBC">
        <w:rPr>
          <w:b w:val="0"/>
          <w:bCs w:val="0"/>
        </w:rPr>
        <w:t>January: full-time UG</w:t>
      </w:r>
    </w:p>
    <w:p w14:paraId="21406492" w14:textId="158C77A9" w:rsidR="00405FBC" w:rsidRPr="00405FBC" w:rsidRDefault="00405FBC" w:rsidP="00405FBC">
      <w:pPr>
        <w:pStyle w:val="Body12ptBold"/>
        <w:numPr>
          <w:ilvl w:val="0"/>
          <w:numId w:val="8"/>
        </w:numPr>
        <w:rPr>
          <w:b w:val="0"/>
          <w:bCs w:val="0"/>
        </w:rPr>
      </w:pPr>
      <w:r w:rsidRPr="00405FBC">
        <w:rPr>
          <w:b w:val="0"/>
          <w:bCs w:val="0"/>
        </w:rPr>
        <w:t>March/April: part-time UG</w:t>
      </w:r>
    </w:p>
    <w:p w14:paraId="068AE83A" w14:textId="534F8A7A" w:rsidR="00405FBC" w:rsidRDefault="00405FBC" w:rsidP="00405FBC">
      <w:pPr>
        <w:pStyle w:val="Body12ptBold"/>
        <w:numPr>
          <w:ilvl w:val="0"/>
          <w:numId w:val="8"/>
        </w:numPr>
        <w:rPr>
          <w:b w:val="0"/>
          <w:bCs w:val="0"/>
        </w:rPr>
      </w:pPr>
      <w:r w:rsidRPr="00405FBC">
        <w:rPr>
          <w:b w:val="0"/>
          <w:bCs w:val="0"/>
        </w:rPr>
        <w:lastRenderedPageBreak/>
        <w:t>April/June: postgraduate</w:t>
      </w:r>
    </w:p>
    <w:p w14:paraId="4B06F75E" w14:textId="54404153" w:rsidR="00405FBC" w:rsidRDefault="00405FBC" w:rsidP="00405FBC">
      <w:pPr>
        <w:pStyle w:val="Body12ptBold"/>
        <w:rPr>
          <w:b w:val="0"/>
          <w:bCs w:val="0"/>
        </w:rPr>
      </w:pPr>
    </w:p>
    <w:p w14:paraId="4CEA0A71" w14:textId="48E21C5E" w:rsidR="00405FBC" w:rsidRDefault="00405FBC" w:rsidP="00405FBC">
      <w:pPr>
        <w:pStyle w:val="Body12ptBold"/>
      </w:pPr>
      <w:r w:rsidRPr="00405FBC">
        <w:t>Application launch</w:t>
      </w:r>
    </w:p>
    <w:p w14:paraId="00BD7E2C" w14:textId="77777777" w:rsidR="00405FBC" w:rsidRDefault="00405FBC" w:rsidP="00405FBC">
      <w:pPr>
        <w:pStyle w:val="Body12ptBold"/>
      </w:pPr>
    </w:p>
    <w:p w14:paraId="49338302" w14:textId="770586C1" w:rsidR="00405FBC" w:rsidRPr="00405FBC" w:rsidRDefault="00405FBC" w:rsidP="00405FBC">
      <w:pPr>
        <w:pStyle w:val="Body12ptBold"/>
        <w:numPr>
          <w:ilvl w:val="0"/>
          <w:numId w:val="9"/>
        </w:numPr>
        <w:rPr>
          <w:b w:val="0"/>
          <w:bCs w:val="0"/>
        </w:rPr>
      </w:pPr>
      <w:r w:rsidRPr="00405FBC">
        <w:rPr>
          <w:b w:val="0"/>
          <w:bCs w:val="0"/>
        </w:rPr>
        <w:t>February: full-time UG</w:t>
      </w:r>
    </w:p>
    <w:p w14:paraId="31022562" w14:textId="6205B3A4" w:rsidR="00405FBC" w:rsidRPr="00405FBC" w:rsidRDefault="00405FBC" w:rsidP="00405FBC">
      <w:pPr>
        <w:pStyle w:val="Body12ptBold"/>
        <w:numPr>
          <w:ilvl w:val="0"/>
          <w:numId w:val="9"/>
        </w:numPr>
        <w:rPr>
          <w:b w:val="0"/>
          <w:bCs w:val="0"/>
        </w:rPr>
      </w:pPr>
      <w:r w:rsidRPr="00405FBC">
        <w:rPr>
          <w:b w:val="0"/>
          <w:bCs w:val="0"/>
        </w:rPr>
        <w:t>April/June: part-time UG</w:t>
      </w:r>
    </w:p>
    <w:p w14:paraId="432CE8DF" w14:textId="035C8506" w:rsidR="00405FBC" w:rsidRDefault="00405FBC" w:rsidP="00405FBC">
      <w:pPr>
        <w:pStyle w:val="Body12ptBold"/>
        <w:numPr>
          <w:ilvl w:val="0"/>
          <w:numId w:val="9"/>
        </w:numPr>
        <w:rPr>
          <w:b w:val="0"/>
          <w:bCs w:val="0"/>
        </w:rPr>
      </w:pPr>
      <w:r w:rsidRPr="00405FBC">
        <w:rPr>
          <w:b w:val="0"/>
          <w:bCs w:val="0"/>
        </w:rPr>
        <w:t>June: postgraduate</w:t>
      </w:r>
    </w:p>
    <w:p w14:paraId="1EDEB502" w14:textId="77777777" w:rsidR="00405FBC" w:rsidRDefault="00405FBC" w:rsidP="00405FBC">
      <w:pPr>
        <w:pStyle w:val="Body12ptBold"/>
        <w:rPr>
          <w:b w:val="0"/>
          <w:bCs w:val="0"/>
        </w:rPr>
      </w:pPr>
    </w:p>
    <w:p w14:paraId="1532E10D" w14:textId="0EE418FD" w:rsidR="00405FBC" w:rsidRDefault="00405FBC" w:rsidP="00405FBC">
      <w:pPr>
        <w:pStyle w:val="Body12ptBold"/>
      </w:pPr>
      <w:r w:rsidRPr="00405FBC">
        <w:t xml:space="preserve">Student </w:t>
      </w:r>
      <w:r w:rsidR="00DD5BE9">
        <w:t>p</w:t>
      </w:r>
      <w:r w:rsidRPr="00405FBC">
        <w:t>ayment</w:t>
      </w:r>
    </w:p>
    <w:p w14:paraId="5EAB93A9" w14:textId="77777777" w:rsidR="00405FBC" w:rsidRDefault="00405FBC" w:rsidP="00405FBC">
      <w:pPr>
        <w:pStyle w:val="Body12ptBold"/>
      </w:pPr>
    </w:p>
    <w:p w14:paraId="50E80792" w14:textId="1605916C" w:rsidR="00405FBC" w:rsidRPr="00405FBC" w:rsidRDefault="00405FBC" w:rsidP="00405FBC">
      <w:pPr>
        <w:pStyle w:val="Body12ptBold"/>
        <w:numPr>
          <w:ilvl w:val="0"/>
          <w:numId w:val="10"/>
        </w:numPr>
        <w:rPr>
          <w:b w:val="0"/>
          <w:bCs w:val="0"/>
        </w:rPr>
      </w:pPr>
      <w:r w:rsidRPr="00405FBC">
        <w:rPr>
          <w:b w:val="0"/>
          <w:bCs w:val="0"/>
        </w:rPr>
        <w:t>February onwards: applications in SIS</w:t>
      </w:r>
    </w:p>
    <w:p w14:paraId="57F398DE" w14:textId="6404DFC3" w:rsidR="00405FBC" w:rsidRPr="00405FBC" w:rsidRDefault="00405FBC" w:rsidP="00405FBC">
      <w:pPr>
        <w:pStyle w:val="Body12ptBold"/>
        <w:numPr>
          <w:ilvl w:val="0"/>
          <w:numId w:val="10"/>
        </w:numPr>
        <w:rPr>
          <w:b w:val="0"/>
          <w:bCs w:val="0"/>
        </w:rPr>
      </w:pPr>
      <w:r w:rsidRPr="00405FBC">
        <w:rPr>
          <w:b w:val="0"/>
          <w:bCs w:val="0"/>
        </w:rPr>
        <w:t>Course start: confirm registration</w:t>
      </w:r>
    </w:p>
    <w:p w14:paraId="3ED8891A" w14:textId="09BCD144" w:rsidR="00405FBC" w:rsidRDefault="00405FBC" w:rsidP="00405FBC">
      <w:pPr>
        <w:pStyle w:val="Body12ptBold"/>
        <w:numPr>
          <w:ilvl w:val="0"/>
          <w:numId w:val="10"/>
        </w:numPr>
        <w:rPr>
          <w:b w:val="0"/>
          <w:bCs w:val="0"/>
        </w:rPr>
      </w:pPr>
      <w:r w:rsidRPr="00405FBC">
        <w:rPr>
          <w:b w:val="0"/>
          <w:bCs w:val="0"/>
        </w:rPr>
        <w:t>October term 1: attendance confirmation and student payment 1</w:t>
      </w:r>
    </w:p>
    <w:p w14:paraId="0ED99875" w14:textId="0563CB66" w:rsidR="00405FBC" w:rsidRDefault="00405FBC" w:rsidP="00405FBC">
      <w:pPr>
        <w:pStyle w:val="Body12ptBold"/>
        <w:numPr>
          <w:ilvl w:val="0"/>
          <w:numId w:val="10"/>
        </w:numPr>
        <w:rPr>
          <w:b w:val="0"/>
          <w:bCs w:val="0"/>
        </w:rPr>
      </w:pPr>
      <w:r>
        <w:rPr>
          <w:b w:val="0"/>
          <w:bCs w:val="0"/>
        </w:rPr>
        <w:t>January tern 2: attendance confirmation and student payment 2</w:t>
      </w:r>
    </w:p>
    <w:p w14:paraId="79407E53" w14:textId="30F4E9D7" w:rsidR="00405FBC" w:rsidRDefault="00405FBC" w:rsidP="00405FBC">
      <w:pPr>
        <w:pStyle w:val="Body12ptBold"/>
        <w:numPr>
          <w:ilvl w:val="0"/>
          <w:numId w:val="10"/>
        </w:numPr>
        <w:rPr>
          <w:b w:val="0"/>
          <w:bCs w:val="0"/>
        </w:rPr>
      </w:pPr>
      <w:r>
        <w:rPr>
          <w:b w:val="0"/>
          <w:bCs w:val="0"/>
        </w:rPr>
        <w:t>April term 3: attendance confirmation and student payment 3</w:t>
      </w:r>
    </w:p>
    <w:p w14:paraId="42469502" w14:textId="77777777" w:rsidR="00405FBC" w:rsidRDefault="00405FBC" w:rsidP="00405FBC">
      <w:pPr>
        <w:pStyle w:val="Body12ptBold"/>
        <w:rPr>
          <w:b w:val="0"/>
          <w:bCs w:val="0"/>
        </w:rPr>
      </w:pPr>
    </w:p>
    <w:p w14:paraId="3A854527" w14:textId="77777777" w:rsidR="00405FBC" w:rsidRDefault="00405FBC" w:rsidP="00405FBC">
      <w:pPr>
        <w:pStyle w:val="Body12ptBold"/>
      </w:pPr>
    </w:p>
    <w:p w14:paraId="6D4B9C67" w14:textId="03D5C222" w:rsidR="00405FBC" w:rsidRDefault="00405FBC" w:rsidP="00405FBC">
      <w:pPr>
        <w:pStyle w:val="Body12ptBold"/>
      </w:pPr>
      <w:r w:rsidRPr="00405FBC">
        <w:t>Fees</w:t>
      </w:r>
    </w:p>
    <w:p w14:paraId="620DD903" w14:textId="62BD71B2" w:rsidR="00795B93" w:rsidRPr="00405FBC" w:rsidRDefault="00405FBC" w:rsidP="00405FBC">
      <w:pPr>
        <w:pStyle w:val="Body12ptBold"/>
        <w:numPr>
          <w:ilvl w:val="0"/>
          <w:numId w:val="11"/>
        </w:numPr>
      </w:pPr>
      <w:r>
        <w:rPr>
          <w:b w:val="0"/>
          <w:bCs w:val="0"/>
        </w:rPr>
        <w:t>T</w:t>
      </w:r>
      <w:r w:rsidRPr="00405FBC">
        <w:rPr>
          <w:b w:val="0"/>
          <w:bCs w:val="0"/>
        </w:rPr>
        <w:t>hird Wednesday in October</w:t>
      </w:r>
    </w:p>
    <w:p w14:paraId="3F0AF0A3" w14:textId="33703503" w:rsidR="00405FBC" w:rsidRPr="00405FBC" w:rsidRDefault="00405FBC" w:rsidP="00405FBC">
      <w:pPr>
        <w:pStyle w:val="Body12ptBold"/>
        <w:numPr>
          <w:ilvl w:val="0"/>
          <w:numId w:val="11"/>
        </w:numPr>
        <w:rPr>
          <w:b w:val="0"/>
          <w:bCs w:val="0"/>
        </w:rPr>
      </w:pPr>
      <w:r w:rsidRPr="00405FBC">
        <w:rPr>
          <w:b w:val="0"/>
          <w:bCs w:val="0"/>
        </w:rPr>
        <w:t>First Wednesday in February</w:t>
      </w:r>
    </w:p>
    <w:p w14:paraId="690A8EC8" w14:textId="591FBD51" w:rsidR="00405FBC" w:rsidRDefault="00405FBC" w:rsidP="00405FBC">
      <w:pPr>
        <w:pStyle w:val="Body12ptBold"/>
        <w:numPr>
          <w:ilvl w:val="0"/>
          <w:numId w:val="11"/>
        </w:numPr>
        <w:rPr>
          <w:b w:val="0"/>
          <w:bCs w:val="0"/>
        </w:rPr>
      </w:pPr>
      <w:r w:rsidRPr="00405FBC">
        <w:rPr>
          <w:b w:val="0"/>
          <w:bCs w:val="0"/>
        </w:rPr>
        <w:t>First Wednesday in May</w:t>
      </w:r>
    </w:p>
    <w:p w14:paraId="4F130A74" w14:textId="77777777" w:rsidR="00405FBC" w:rsidRDefault="00405FBC" w:rsidP="00405FBC">
      <w:pPr>
        <w:pStyle w:val="Body12ptBold"/>
        <w:rPr>
          <w:b w:val="0"/>
          <w:bCs w:val="0"/>
        </w:rPr>
      </w:pPr>
    </w:p>
    <w:p w14:paraId="0F02184E" w14:textId="77777777" w:rsidR="00405FBC" w:rsidRDefault="00405FBC" w:rsidP="00405FBC">
      <w:pPr>
        <w:pStyle w:val="Body12ptBold"/>
        <w:rPr>
          <w:b w:val="0"/>
          <w:bCs w:val="0"/>
        </w:rPr>
      </w:pPr>
    </w:p>
    <w:p w14:paraId="4CCF1AFA" w14:textId="77777777" w:rsidR="00405FBC" w:rsidRDefault="00405FBC" w:rsidP="00405FBC">
      <w:pPr>
        <w:pStyle w:val="Body12ptBold"/>
        <w:rPr>
          <w:b w:val="0"/>
          <w:bCs w:val="0"/>
        </w:rPr>
      </w:pPr>
    </w:p>
    <w:p w14:paraId="10738F8D" w14:textId="77777777" w:rsidR="00405FBC" w:rsidRDefault="00405FBC" w:rsidP="00405FBC">
      <w:pPr>
        <w:pStyle w:val="Body12ptBold"/>
        <w:rPr>
          <w:b w:val="0"/>
          <w:bCs w:val="0"/>
        </w:rPr>
      </w:pPr>
    </w:p>
    <w:p w14:paraId="68C7A93B" w14:textId="77777777" w:rsidR="00405FBC" w:rsidRDefault="00405FBC" w:rsidP="00405FBC">
      <w:pPr>
        <w:pStyle w:val="Body12ptBold"/>
        <w:rPr>
          <w:b w:val="0"/>
          <w:bCs w:val="0"/>
        </w:rPr>
      </w:pPr>
    </w:p>
    <w:p w14:paraId="7153A43B" w14:textId="77777777" w:rsidR="00405FBC" w:rsidRDefault="00405FBC" w:rsidP="00405FBC">
      <w:pPr>
        <w:pStyle w:val="Body12ptBold"/>
        <w:rPr>
          <w:b w:val="0"/>
          <w:bCs w:val="0"/>
        </w:rPr>
      </w:pPr>
    </w:p>
    <w:p w14:paraId="46FD5B1E" w14:textId="77777777" w:rsidR="00405FBC" w:rsidRDefault="00405FBC" w:rsidP="00405FBC">
      <w:pPr>
        <w:pStyle w:val="Body12ptBold"/>
        <w:rPr>
          <w:b w:val="0"/>
          <w:bCs w:val="0"/>
        </w:rPr>
      </w:pPr>
    </w:p>
    <w:p w14:paraId="3084FC23" w14:textId="77777777" w:rsidR="00405FBC" w:rsidRDefault="00405FBC" w:rsidP="00405FBC">
      <w:pPr>
        <w:pStyle w:val="Body12ptBold"/>
        <w:rPr>
          <w:b w:val="0"/>
          <w:bCs w:val="0"/>
        </w:rPr>
      </w:pPr>
    </w:p>
    <w:p w14:paraId="688FF1B8" w14:textId="77777777" w:rsidR="00405FBC" w:rsidRDefault="00405FBC" w:rsidP="00405FBC">
      <w:pPr>
        <w:pStyle w:val="Body12ptBold"/>
        <w:rPr>
          <w:b w:val="0"/>
          <w:bCs w:val="0"/>
        </w:rPr>
      </w:pPr>
    </w:p>
    <w:p w14:paraId="266AB944" w14:textId="7F9E53FF" w:rsidR="00405FBC" w:rsidRDefault="005134DF" w:rsidP="005134DF">
      <w:pPr>
        <w:pStyle w:val="Header1"/>
      </w:pPr>
      <w:r>
        <w:lastRenderedPageBreak/>
        <w:t xml:space="preserve">Service </w:t>
      </w:r>
      <w:r w:rsidR="00DD5BE9">
        <w:t>s</w:t>
      </w:r>
      <w:r>
        <w:t>tandards</w:t>
      </w:r>
    </w:p>
    <w:p w14:paraId="27885316" w14:textId="1ADD6D5E" w:rsidR="00736CCB" w:rsidRDefault="00736CCB" w:rsidP="00736CCB">
      <w:pPr>
        <w:pStyle w:val="HeaderGreen"/>
      </w:pPr>
      <w:r w:rsidRPr="00736CCB">
        <w:t xml:space="preserve">Service </w:t>
      </w:r>
      <w:r w:rsidR="00DD5BE9">
        <w:t>s</w:t>
      </w:r>
      <w:r w:rsidRPr="00736CCB">
        <w:t xml:space="preserve">tandard – </w:t>
      </w:r>
      <w:r>
        <w:t>f</w:t>
      </w:r>
      <w:r w:rsidRPr="00736CCB">
        <w:t>ull</w:t>
      </w:r>
      <w:r>
        <w:t>-t</w:t>
      </w:r>
      <w:r w:rsidRPr="00736CCB">
        <w:t xml:space="preserve">ime </w:t>
      </w:r>
      <w:r>
        <w:t>u</w:t>
      </w:r>
      <w:r w:rsidRPr="00736CCB">
        <w:t>ndergraduate</w:t>
      </w:r>
    </w:p>
    <w:p w14:paraId="238AC83A" w14:textId="77777777" w:rsidR="00736CCB" w:rsidRDefault="00736CCB" w:rsidP="00736CCB">
      <w:pPr>
        <w:pStyle w:val="Body12pt"/>
      </w:pPr>
    </w:p>
    <w:p w14:paraId="7BDD6D54" w14:textId="77777777" w:rsidR="00736CCB" w:rsidRDefault="00736CCB" w:rsidP="00736CCB">
      <w:pPr>
        <w:pStyle w:val="Body12pt"/>
      </w:pPr>
      <w:r w:rsidRPr="00736CCB">
        <w:t xml:space="preserve">The joint SLC/HEP Service Agreement defines the service exchanges between SLC and Providers for the administration of Student Finance. </w:t>
      </w:r>
    </w:p>
    <w:p w14:paraId="4A56B6D5" w14:textId="77777777" w:rsidR="00736CCB" w:rsidRDefault="00736CCB" w:rsidP="00736CCB">
      <w:pPr>
        <w:pStyle w:val="Body12pt"/>
      </w:pPr>
    </w:p>
    <w:p w14:paraId="382F7C90" w14:textId="77CEF4F6" w:rsidR="00736CCB" w:rsidRDefault="00736CCB" w:rsidP="00736CCB">
      <w:pPr>
        <w:pStyle w:val="Body12pt"/>
      </w:pPr>
      <w:r w:rsidRPr="00736CCB">
        <w:t xml:space="preserve">This agreement includes </w:t>
      </w:r>
      <w:r w:rsidR="00DD5BE9">
        <w:t>s</w:t>
      </w:r>
      <w:r w:rsidRPr="00736CCB">
        <w:t xml:space="preserve">ervice </w:t>
      </w:r>
      <w:r w:rsidR="00DD5BE9">
        <w:t>s</w:t>
      </w:r>
      <w:r w:rsidRPr="00736CCB">
        <w:t>tandards for both timeliness (Elapsed Time) and accuracy (Right First Time) of course submission.</w:t>
      </w:r>
    </w:p>
    <w:p w14:paraId="4D6E1CFB" w14:textId="77777777" w:rsidR="00736CCB" w:rsidRDefault="00736CCB" w:rsidP="00736CCB">
      <w:pPr>
        <w:pStyle w:val="Body12pt"/>
      </w:pPr>
    </w:p>
    <w:tbl>
      <w:tblPr>
        <w:tblStyle w:val="SLCTable"/>
        <w:tblW w:w="0" w:type="auto"/>
        <w:tblLook w:val="04A0" w:firstRow="1" w:lastRow="0" w:firstColumn="1" w:lastColumn="0" w:noHBand="0" w:noVBand="1"/>
      </w:tblPr>
      <w:tblGrid>
        <w:gridCol w:w="4479"/>
        <w:gridCol w:w="4480"/>
        <w:gridCol w:w="4480"/>
      </w:tblGrid>
      <w:tr w:rsidR="00736CCB" w14:paraId="69FF3834" w14:textId="77777777" w:rsidTr="00736CCB">
        <w:trPr>
          <w:cnfStyle w:val="100000000000" w:firstRow="1" w:lastRow="0" w:firstColumn="0" w:lastColumn="0" w:oddVBand="0" w:evenVBand="0" w:oddHBand="0" w:evenHBand="0" w:firstRowFirstColumn="0" w:firstRowLastColumn="0" w:lastRowFirstColumn="0" w:lastRowLastColumn="0"/>
        </w:trPr>
        <w:tc>
          <w:tcPr>
            <w:tcW w:w="4479" w:type="dxa"/>
          </w:tcPr>
          <w:p w14:paraId="133F5114" w14:textId="34864974" w:rsidR="00736CCB" w:rsidRDefault="00736CCB" w:rsidP="00736CCB">
            <w:pPr>
              <w:pStyle w:val="Body12pt"/>
            </w:pPr>
            <w:r w:rsidRPr="00736CCB">
              <w:t>Service/Process</w:t>
            </w:r>
          </w:p>
        </w:tc>
        <w:tc>
          <w:tcPr>
            <w:tcW w:w="4480" w:type="dxa"/>
          </w:tcPr>
          <w:p w14:paraId="7F162489" w14:textId="7CDC3AF0" w:rsidR="00736CCB" w:rsidRDefault="00736CCB" w:rsidP="00736CCB">
            <w:pPr>
              <w:pStyle w:val="Body12pt"/>
            </w:pPr>
            <w:r w:rsidRPr="00736CCB">
              <w:t>Right First Time</w:t>
            </w:r>
          </w:p>
        </w:tc>
        <w:tc>
          <w:tcPr>
            <w:tcW w:w="4480" w:type="dxa"/>
          </w:tcPr>
          <w:p w14:paraId="0F84856C" w14:textId="11E963AC" w:rsidR="00736CCB" w:rsidRDefault="00736CCB" w:rsidP="00736CCB">
            <w:pPr>
              <w:pStyle w:val="Body12pt"/>
            </w:pPr>
            <w:r w:rsidRPr="00736CCB">
              <w:t>Elapsed Time</w:t>
            </w:r>
          </w:p>
        </w:tc>
      </w:tr>
      <w:tr w:rsidR="00736CCB" w14:paraId="46F11A5E" w14:textId="77777777" w:rsidTr="00736CCB">
        <w:trPr>
          <w:cnfStyle w:val="000000100000" w:firstRow="0" w:lastRow="0" w:firstColumn="0" w:lastColumn="0" w:oddVBand="0" w:evenVBand="0" w:oddHBand="1" w:evenHBand="0" w:firstRowFirstColumn="0" w:firstRowLastColumn="0" w:lastRowFirstColumn="0" w:lastRowLastColumn="0"/>
        </w:trPr>
        <w:tc>
          <w:tcPr>
            <w:tcW w:w="4479" w:type="dxa"/>
          </w:tcPr>
          <w:p w14:paraId="7F1C1707" w14:textId="7287942F" w:rsidR="00736CCB" w:rsidRDefault="00736CCB" w:rsidP="00736CCB">
            <w:pPr>
              <w:pStyle w:val="Body12pt"/>
            </w:pPr>
            <w:r w:rsidRPr="00736CCB">
              <w:t>Full-</w:t>
            </w:r>
            <w:r w:rsidR="00467BF0">
              <w:t>t</w:t>
            </w:r>
            <w:r w:rsidRPr="00736CCB">
              <w:t xml:space="preserve">ime </w:t>
            </w:r>
            <w:r w:rsidR="00467BF0">
              <w:t>u</w:t>
            </w:r>
            <w:r w:rsidRPr="00736CCB">
              <w:t>ndergraduate course submission</w:t>
            </w:r>
          </w:p>
        </w:tc>
        <w:tc>
          <w:tcPr>
            <w:tcW w:w="4480" w:type="dxa"/>
          </w:tcPr>
          <w:p w14:paraId="3BA02E0A" w14:textId="77777777" w:rsidR="00736CCB" w:rsidRDefault="00736CCB" w:rsidP="00736CCB">
            <w:pPr>
              <w:pStyle w:val="Body12pt"/>
            </w:pPr>
            <w:r w:rsidRPr="00736CCB">
              <w:t>95% by course collection deadline</w:t>
            </w:r>
          </w:p>
          <w:p w14:paraId="73963A06" w14:textId="77777777" w:rsidR="00736CCB" w:rsidRDefault="00736CCB" w:rsidP="00736CCB">
            <w:pPr>
              <w:pStyle w:val="Body12pt"/>
            </w:pPr>
          </w:p>
          <w:p w14:paraId="73AC5636" w14:textId="7E217CDE" w:rsidR="00736CCB" w:rsidRDefault="00736CCB" w:rsidP="00736CCB">
            <w:pPr>
              <w:pStyle w:val="Body12pt"/>
            </w:pPr>
            <w:r w:rsidRPr="00736CCB">
              <w:t>99.5% by Service Launch</w:t>
            </w:r>
          </w:p>
        </w:tc>
        <w:tc>
          <w:tcPr>
            <w:tcW w:w="4480" w:type="dxa"/>
          </w:tcPr>
          <w:p w14:paraId="0A05196D" w14:textId="77777777" w:rsidR="00736CCB" w:rsidRDefault="00736CCB" w:rsidP="00736CCB">
            <w:pPr>
              <w:pStyle w:val="Body12pt"/>
            </w:pPr>
            <w:r w:rsidRPr="00736CCB">
              <w:t xml:space="preserve">Universities: 85% submitted by 2 weeks prior to service launch </w:t>
            </w:r>
          </w:p>
          <w:p w14:paraId="0D47C67D" w14:textId="77777777" w:rsidR="00736CCB" w:rsidRDefault="00736CCB" w:rsidP="00736CCB">
            <w:pPr>
              <w:pStyle w:val="Body12pt"/>
            </w:pPr>
          </w:p>
          <w:p w14:paraId="47F7254A" w14:textId="77777777" w:rsidR="00736CCB" w:rsidRDefault="00736CCB" w:rsidP="00736CCB">
            <w:pPr>
              <w:pStyle w:val="Body12pt"/>
            </w:pPr>
            <w:r w:rsidRPr="00736CCB">
              <w:t xml:space="preserve">Colleges: 85% submitted by 1 week prior to service launch </w:t>
            </w:r>
          </w:p>
          <w:p w14:paraId="1201A18E" w14:textId="77777777" w:rsidR="00736CCB" w:rsidRDefault="00736CCB" w:rsidP="00736CCB">
            <w:pPr>
              <w:pStyle w:val="Body12pt"/>
            </w:pPr>
          </w:p>
          <w:p w14:paraId="784C49CA" w14:textId="77777777" w:rsidR="00736CCB" w:rsidRDefault="00736CCB" w:rsidP="00736CCB">
            <w:pPr>
              <w:pStyle w:val="Body12pt"/>
            </w:pPr>
            <w:r w:rsidRPr="00736CCB">
              <w:t xml:space="preserve">Specifically designated: Courses submitted as soon as possible after designation award </w:t>
            </w:r>
          </w:p>
          <w:p w14:paraId="2464DCE9" w14:textId="77777777" w:rsidR="00736CCB" w:rsidRDefault="00736CCB" w:rsidP="00736CCB">
            <w:pPr>
              <w:pStyle w:val="Body12pt"/>
            </w:pPr>
          </w:p>
          <w:p w14:paraId="35743A66" w14:textId="21B7D4A1" w:rsidR="00736CCB" w:rsidRDefault="00736CCB" w:rsidP="00736CCB">
            <w:pPr>
              <w:pStyle w:val="Body12pt"/>
            </w:pPr>
            <w:r w:rsidRPr="00736CCB">
              <w:t>(Service launch normally around mid Feb)</w:t>
            </w:r>
          </w:p>
        </w:tc>
      </w:tr>
    </w:tbl>
    <w:p w14:paraId="724A0493" w14:textId="77777777" w:rsidR="00736CCB" w:rsidRDefault="00736CCB" w:rsidP="00736CCB">
      <w:pPr>
        <w:pStyle w:val="Body12pt"/>
      </w:pPr>
    </w:p>
    <w:p w14:paraId="72D8A1D8" w14:textId="7BC5D72C" w:rsidR="00467BF0" w:rsidRDefault="00467BF0" w:rsidP="00467BF0">
      <w:pPr>
        <w:tabs>
          <w:tab w:val="left" w:pos="10890"/>
        </w:tabs>
      </w:pPr>
      <w:r>
        <w:tab/>
      </w:r>
    </w:p>
    <w:p w14:paraId="0032116E" w14:textId="77777777" w:rsidR="00467BF0" w:rsidRDefault="00467BF0" w:rsidP="00467BF0">
      <w:pPr>
        <w:tabs>
          <w:tab w:val="left" w:pos="10890"/>
        </w:tabs>
      </w:pPr>
    </w:p>
    <w:p w14:paraId="17A1F9F3" w14:textId="77777777" w:rsidR="00467BF0" w:rsidRDefault="00467BF0" w:rsidP="00467BF0">
      <w:pPr>
        <w:tabs>
          <w:tab w:val="left" w:pos="10890"/>
        </w:tabs>
      </w:pPr>
    </w:p>
    <w:p w14:paraId="309B846D" w14:textId="4B5C0807" w:rsidR="00467BF0" w:rsidRDefault="00467BF0" w:rsidP="00467BF0">
      <w:pPr>
        <w:pStyle w:val="HeaderGreen"/>
      </w:pPr>
      <w:r w:rsidRPr="00467BF0">
        <w:lastRenderedPageBreak/>
        <w:t xml:space="preserve">Service </w:t>
      </w:r>
      <w:r w:rsidR="00DD5BE9">
        <w:t>s</w:t>
      </w:r>
      <w:r w:rsidRPr="00467BF0">
        <w:t xml:space="preserve">tandard – </w:t>
      </w:r>
      <w:r>
        <w:t>p</w:t>
      </w:r>
      <w:r w:rsidRPr="00467BF0">
        <w:t>art-</w:t>
      </w:r>
      <w:r>
        <w:t>t</w:t>
      </w:r>
      <w:r w:rsidRPr="00467BF0">
        <w:t xml:space="preserve">ime </w:t>
      </w:r>
      <w:r>
        <w:t>u</w:t>
      </w:r>
      <w:r w:rsidRPr="00467BF0">
        <w:t>ndergraduate</w:t>
      </w:r>
    </w:p>
    <w:p w14:paraId="347537CF" w14:textId="77777777" w:rsidR="00DE4011" w:rsidRDefault="00DE4011" w:rsidP="00467BF0">
      <w:pPr>
        <w:pStyle w:val="HeaderGreen"/>
      </w:pPr>
    </w:p>
    <w:p w14:paraId="3E51539A" w14:textId="289275C6" w:rsidR="00DE4011" w:rsidRDefault="00DE4011" w:rsidP="00DE4011">
      <w:pPr>
        <w:pStyle w:val="Body12pt"/>
      </w:pPr>
      <w:r w:rsidRPr="00DE4011">
        <w:t>The process of submission and validation that takes place with Full-Time undergraduate courses also takes place with Part-Time undergraduate courses.</w:t>
      </w:r>
    </w:p>
    <w:p w14:paraId="305AE989" w14:textId="77777777" w:rsidR="00DE4011" w:rsidRDefault="00DE4011" w:rsidP="00DE4011">
      <w:pPr>
        <w:pStyle w:val="Body12pt"/>
      </w:pPr>
    </w:p>
    <w:tbl>
      <w:tblPr>
        <w:tblStyle w:val="SLCTable"/>
        <w:tblW w:w="0" w:type="auto"/>
        <w:tblLook w:val="04A0" w:firstRow="1" w:lastRow="0" w:firstColumn="1" w:lastColumn="0" w:noHBand="0" w:noVBand="1"/>
      </w:tblPr>
      <w:tblGrid>
        <w:gridCol w:w="4479"/>
        <w:gridCol w:w="4480"/>
        <w:gridCol w:w="4480"/>
      </w:tblGrid>
      <w:tr w:rsidR="00DE4011" w14:paraId="7DE9003D" w14:textId="77777777" w:rsidTr="00DE4011">
        <w:trPr>
          <w:cnfStyle w:val="100000000000" w:firstRow="1" w:lastRow="0" w:firstColumn="0" w:lastColumn="0" w:oddVBand="0" w:evenVBand="0" w:oddHBand="0" w:evenHBand="0" w:firstRowFirstColumn="0" w:firstRowLastColumn="0" w:lastRowFirstColumn="0" w:lastRowLastColumn="0"/>
        </w:trPr>
        <w:tc>
          <w:tcPr>
            <w:tcW w:w="4479" w:type="dxa"/>
          </w:tcPr>
          <w:p w14:paraId="11AFDDAD" w14:textId="3E0BBAE0" w:rsidR="00DE4011" w:rsidRDefault="00DE4011" w:rsidP="00DE4011">
            <w:pPr>
              <w:pStyle w:val="Body12pt"/>
            </w:pPr>
            <w:r>
              <w:t>Service/Process</w:t>
            </w:r>
          </w:p>
        </w:tc>
        <w:tc>
          <w:tcPr>
            <w:tcW w:w="4480" w:type="dxa"/>
          </w:tcPr>
          <w:p w14:paraId="22D7E3B5" w14:textId="054C4AC8" w:rsidR="00DE4011" w:rsidRDefault="00DE4011" w:rsidP="00DE4011">
            <w:pPr>
              <w:pStyle w:val="Body12pt"/>
            </w:pPr>
            <w:r>
              <w:t>Right First Time</w:t>
            </w:r>
          </w:p>
        </w:tc>
        <w:tc>
          <w:tcPr>
            <w:tcW w:w="4480" w:type="dxa"/>
          </w:tcPr>
          <w:p w14:paraId="4F475086" w14:textId="786E5708" w:rsidR="00DE4011" w:rsidRDefault="00DE4011" w:rsidP="00DE4011">
            <w:pPr>
              <w:pStyle w:val="Body12pt"/>
            </w:pPr>
            <w:r w:rsidRPr="00DE4011">
              <w:t>Elapsed Time</w:t>
            </w:r>
          </w:p>
        </w:tc>
      </w:tr>
      <w:tr w:rsidR="00DE4011" w14:paraId="3BD03F87" w14:textId="77777777" w:rsidTr="00DE4011">
        <w:trPr>
          <w:cnfStyle w:val="000000100000" w:firstRow="0" w:lastRow="0" w:firstColumn="0" w:lastColumn="0" w:oddVBand="0" w:evenVBand="0" w:oddHBand="1" w:evenHBand="0" w:firstRowFirstColumn="0" w:firstRowLastColumn="0" w:lastRowFirstColumn="0" w:lastRowLastColumn="0"/>
        </w:trPr>
        <w:tc>
          <w:tcPr>
            <w:tcW w:w="4479" w:type="dxa"/>
          </w:tcPr>
          <w:p w14:paraId="6EBB2303" w14:textId="7FDFE810" w:rsidR="00DE4011" w:rsidRDefault="00DE4011" w:rsidP="00DE4011">
            <w:pPr>
              <w:pStyle w:val="Body12pt"/>
            </w:pPr>
            <w:r w:rsidRPr="00DE4011">
              <w:t>Part-</w:t>
            </w:r>
            <w:r>
              <w:t>t</w:t>
            </w:r>
            <w:r w:rsidRPr="00DE4011">
              <w:t xml:space="preserve">ime </w:t>
            </w:r>
            <w:r>
              <w:t>u</w:t>
            </w:r>
            <w:r w:rsidRPr="00DE4011">
              <w:t>ndergraduate course submission</w:t>
            </w:r>
          </w:p>
        </w:tc>
        <w:tc>
          <w:tcPr>
            <w:tcW w:w="4480" w:type="dxa"/>
          </w:tcPr>
          <w:p w14:paraId="0445FF63" w14:textId="77777777" w:rsidR="00DE4011" w:rsidRDefault="00DE4011" w:rsidP="00DE4011">
            <w:pPr>
              <w:pStyle w:val="Body12pt"/>
            </w:pPr>
            <w:r w:rsidRPr="00DE4011">
              <w:t xml:space="preserve">95% by course collection deadline </w:t>
            </w:r>
          </w:p>
          <w:p w14:paraId="5575C829" w14:textId="77777777" w:rsidR="00DE4011" w:rsidRDefault="00DE4011" w:rsidP="00DE4011">
            <w:pPr>
              <w:pStyle w:val="Body12pt"/>
            </w:pPr>
          </w:p>
          <w:p w14:paraId="1C3B17DD" w14:textId="0C63385C" w:rsidR="00DE4011" w:rsidRDefault="00DE4011" w:rsidP="00DE4011">
            <w:pPr>
              <w:pStyle w:val="Body12pt"/>
            </w:pPr>
            <w:r w:rsidRPr="00DE4011">
              <w:t>99.5% by student application launch</w:t>
            </w:r>
          </w:p>
        </w:tc>
        <w:tc>
          <w:tcPr>
            <w:tcW w:w="4480" w:type="dxa"/>
          </w:tcPr>
          <w:p w14:paraId="16683BD8" w14:textId="77777777" w:rsidR="00DE4011" w:rsidRDefault="00DE4011" w:rsidP="00DE4011">
            <w:pPr>
              <w:pStyle w:val="Body12pt"/>
            </w:pPr>
            <w:r w:rsidRPr="00DE4011">
              <w:t>85% submitted by 2 weeks prior to service launch.</w:t>
            </w:r>
          </w:p>
          <w:p w14:paraId="3A874094" w14:textId="77777777" w:rsidR="00DE4011" w:rsidRDefault="00DE4011" w:rsidP="00DE4011">
            <w:pPr>
              <w:pStyle w:val="Body12pt"/>
            </w:pPr>
          </w:p>
          <w:p w14:paraId="220F30CF" w14:textId="37CC7A94" w:rsidR="00DE4011" w:rsidRDefault="00DE4011" w:rsidP="00DE4011">
            <w:pPr>
              <w:pStyle w:val="Body12pt"/>
            </w:pPr>
            <w:r w:rsidRPr="00DE4011">
              <w:t>(Service launch normally beginning of May)</w:t>
            </w:r>
          </w:p>
        </w:tc>
      </w:tr>
    </w:tbl>
    <w:p w14:paraId="524AB74E" w14:textId="77777777" w:rsidR="00DE4011" w:rsidRDefault="00DE4011" w:rsidP="00DE4011">
      <w:pPr>
        <w:pStyle w:val="Body12pt"/>
      </w:pPr>
    </w:p>
    <w:p w14:paraId="342B94E8" w14:textId="12E10983" w:rsidR="00B02042" w:rsidRDefault="00B02042" w:rsidP="00B02042">
      <w:pPr>
        <w:pStyle w:val="HeaderGreen"/>
      </w:pPr>
      <w:r w:rsidRPr="00B02042">
        <w:t xml:space="preserve">Service </w:t>
      </w:r>
      <w:r w:rsidR="00DD5BE9">
        <w:t>s</w:t>
      </w:r>
      <w:r w:rsidRPr="00B02042">
        <w:t xml:space="preserve">tandard – </w:t>
      </w:r>
      <w:r>
        <w:t>p</w:t>
      </w:r>
      <w:r w:rsidRPr="00B02042">
        <w:t>ostgraduate</w:t>
      </w:r>
    </w:p>
    <w:p w14:paraId="5F7181EE" w14:textId="77777777" w:rsidR="00B02042" w:rsidRDefault="00B02042" w:rsidP="00B02042">
      <w:pPr>
        <w:pStyle w:val="HeaderGreen"/>
      </w:pPr>
    </w:p>
    <w:p w14:paraId="2B2A12F5" w14:textId="79AA9661" w:rsidR="00B02042" w:rsidRDefault="00B02042" w:rsidP="00B02042">
      <w:pPr>
        <w:pStyle w:val="Body12pt"/>
      </w:pPr>
      <w:r w:rsidRPr="00B02042">
        <w:t xml:space="preserve">The process of submission and validation that takes place with FT </w:t>
      </w:r>
      <w:r w:rsidR="00DD5BE9">
        <w:t>and</w:t>
      </w:r>
      <w:r w:rsidRPr="00B02042">
        <w:t xml:space="preserve"> PT undergraduate courses also takes place with Postgraduate Masters </w:t>
      </w:r>
      <w:r w:rsidR="00DD5BE9">
        <w:t>and</w:t>
      </w:r>
      <w:r w:rsidRPr="00B02042">
        <w:t xml:space="preserve"> Doctoral courses.</w:t>
      </w:r>
    </w:p>
    <w:p w14:paraId="7C4054FB" w14:textId="77777777" w:rsidR="00B02042" w:rsidRDefault="00B02042" w:rsidP="00DE4011">
      <w:pPr>
        <w:pStyle w:val="Body12pt"/>
      </w:pPr>
    </w:p>
    <w:tbl>
      <w:tblPr>
        <w:tblStyle w:val="SLCTable"/>
        <w:tblW w:w="0" w:type="auto"/>
        <w:tblLook w:val="04A0" w:firstRow="1" w:lastRow="0" w:firstColumn="1" w:lastColumn="0" w:noHBand="0" w:noVBand="1"/>
      </w:tblPr>
      <w:tblGrid>
        <w:gridCol w:w="4479"/>
        <w:gridCol w:w="4480"/>
        <w:gridCol w:w="4480"/>
      </w:tblGrid>
      <w:tr w:rsidR="00B02042" w14:paraId="3C0CD60F" w14:textId="77777777" w:rsidTr="00B02042">
        <w:trPr>
          <w:cnfStyle w:val="100000000000" w:firstRow="1" w:lastRow="0" w:firstColumn="0" w:lastColumn="0" w:oddVBand="0" w:evenVBand="0" w:oddHBand="0" w:evenHBand="0" w:firstRowFirstColumn="0" w:firstRowLastColumn="0" w:lastRowFirstColumn="0" w:lastRowLastColumn="0"/>
        </w:trPr>
        <w:tc>
          <w:tcPr>
            <w:tcW w:w="4479" w:type="dxa"/>
          </w:tcPr>
          <w:p w14:paraId="21DF9D93" w14:textId="720FEB84" w:rsidR="00B02042" w:rsidRDefault="00B02042" w:rsidP="00DE4011">
            <w:pPr>
              <w:pStyle w:val="Body12pt"/>
            </w:pPr>
            <w:r>
              <w:t>Service/Process</w:t>
            </w:r>
          </w:p>
        </w:tc>
        <w:tc>
          <w:tcPr>
            <w:tcW w:w="4480" w:type="dxa"/>
          </w:tcPr>
          <w:p w14:paraId="1AACD557" w14:textId="07712FD4" w:rsidR="00B02042" w:rsidRDefault="00B02042" w:rsidP="00DE4011">
            <w:pPr>
              <w:pStyle w:val="Body12pt"/>
            </w:pPr>
            <w:r w:rsidRPr="00B02042">
              <w:t>Right First Time</w:t>
            </w:r>
          </w:p>
        </w:tc>
        <w:tc>
          <w:tcPr>
            <w:tcW w:w="4480" w:type="dxa"/>
          </w:tcPr>
          <w:p w14:paraId="73812246" w14:textId="59C1904D" w:rsidR="00B02042" w:rsidRDefault="00B02042" w:rsidP="00DE4011">
            <w:pPr>
              <w:pStyle w:val="Body12pt"/>
            </w:pPr>
            <w:r w:rsidRPr="00B02042">
              <w:t>Elapsed Time</w:t>
            </w:r>
          </w:p>
        </w:tc>
      </w:tr>
      <w:tr w:rsidR="00B02042" w14:paraId="42397DB0" w14:textId="77777777" w:rsidTr="00B02042">
        <w:trPr>
          <w:cnfStyle w:val="000000100000" w:firstRow="0" w:lastRow="0" w:firstColumn="0" w:lastColumn="0" w:oddVBand="0" w:evenVBand="0" w:oddHBand="1" w:evenHBand="0" w:firstRowFirstColumn="0" w:firstRowLastColumn="0" w:lastRowFirstColumn="0" w:lastRowLastColumn="0"/>
        </w:trPr>
        <w:tc>
          <w:tcPr>
            <w:tcW w:w="4479" w:type="dxa"/>
          </w:tcPr>
          <w:p w14:paraId="537CD663" w14:textId="42D0E8FF" w:rsidR="00B02042" w:rsidRDefault="00B02042" w:rsidP="00DE4011">
            <w:pPr>
              <w:pStyle w:val="Body12pt"/>
            </w:pPr>
            <w:r w:rsidRPr="00B02042">
              <w:t>Postgraduate course submission</w:t>
            </w:r>
          </w:p>
        </w:tc>
        <w:tc>
          <w:tcPr>
            <w:tcW w:w="4480" w:type="dxa"/>
          </w:tcPr>
          <w:p w14:paraId="65FDC324" w14:textId="77777777" w:rsidR="00B02042" w:rsidRDefault="00B02042" w:rsidP="00DE4011">
            <w:pPr>
              <w:pStyle w:val="Body12pt"/>
            </w:pPr>
            <w:r w:rsidRPr="00B02042">
              <w:t xml:space="preserve">95% by course collection deadline </w:t>
            </w:r>
          </w:p>
          <w:p w14:paraId="122533EE" w14:textId="77777777" w:rsidR="00B02042" w:rsidRDefault="00B02042" w:rsidP="00DE4011">
            <w:pPr>
              <w:pStyle w:val="Body12pt"/>
            </w:pPr>
          </w:p>
          <w:p w14:paraId="7739851B" w14:textId="533422BB" w:rsidR="00B02042" w:rsidRDefault="00B02042" w:rsidP="00DE4011">
            <w:pPr>
              <w:pStyle w:val="Body12pt"/>
            </w:pPr>
            <w:r w:rsidRPr="00B02042">
              <w:t>99.5% by student application launch</w:t>
            </w:r>
          </w:p>
        </w:tc>
        <w:tc>
          <w:tcPr>
            <w:tcW w:w="4480" w:type="dxa"/>
          </w:tcPr>
          <w:p w14:paraId="63A37CDE" w14:textId="77777777" w:rsidR="00B02042" w:rsidRDefault="00B02042" w:rsidP="00DE4011">
            <w:pPr>
              <w:pStyle w:val="Body12pt"/>
            </w:pPr>
            <w:r w:rsidRPr="00B02042">
              <w:t>85% submitted by 2 weeks prior to service launch.</w:t>
            </w:r>
          </w:p>
          <w:p w14:paraId="48534B84" w14:textId="77777777" w:rsidR="00B02042" w:rsidRDefault="00B02042" w:rsidP="00DE4011">
            <w:pPr>
              <w:pStyle w:val="Body12pt"/>
            </w:pPr>
          </w:p>
          <w:p w14:paraId="74B44149" w14:textId="11FA3F19" w:rsidR="00B02042" w:rsidRDefault="00B02042" w:rsidP="00DE4011">
            <w:pPr>
              <w:pStyle w:val="Body12pt"/>
            </w:pPr>
            <w:r w:rsidRPr="00B02042">
              <w:t>(Service launch normally beginning of May)</w:t>
            </w:r>
          </w:p>
        </w:tc>
      </w:tr>
    </w:tbl>
    <w:p w14:paraId="390D7C3B" w14:textId="77777777" w:rsidR="00B02042" w:rsidRDefault="00B02042" w:rsidP="00DE4011">
      <w:pPr>
        <w:pStyle w:val="Body12pt"/>
      </w:pPr>
    </w:p>
    <w:p w14:paraId="3B2644BB" w14:textId="77777777" w:rsidR="00FA4630" w:rsidRDefault="00FA4630" w:rsidP="00DE4011">
      <w:pPr>
        <w:pStyle w:val="Body12pt"/>
      </w:pPr>
    </w:p>
    <w:p w14:paraId="749404AC" w14:textId="77777777" w:rsidR="00FA4630" w:rsidRDefault="00FA4630" w:rsidP="00DE4011">
      <w:pPr>
        <w:pStyle w:val="Body12pt"/>
      </w:pPr>
    </w:p>
    <w:p w14:paraId="02AA1C43" w14:textId="77777777" w:rsidR="00FA4630" w:rsidRDefault="00FA4630" w:rsidP="00DE4011">
      <w:pPr>
        <w:pStyle w:val="Body12pt"/>
      </w:pPr>
    </w:p>
    <w:p w14:paraId="6251A446" w14:textId="77777777" w:rsidR="00FA4630" w:rsidRDefault="00FA4630" w:rsidP="00DE4011">
      <w:pPr>
        <w:pStyle w:val="Body12pt"/>
      </w:pPr>
    </w:p>
    <w:p w14:paraId="40F98196" w14:textId="77777777" w:rsidR="00FA4630" w:rsidRDefault="00FA4630" w:rsidP="00DE4011">
      <w:pPr>
        <w:pStyle w:val="Body12pt"/>
      </w:pPr>
    </w:p>
    <w:p w14:paraId="2E4507A3" w14:textId="2CD9D286" w:rsidR="00FA4630" w:rsidRDefault="00FA4630" w:rsidP="00FA4630">
      <w:pPr>
        <w:pStyle w:val="Header1"/>
      </w:pPr>
      <w:r>
        <w:lastRenderedPageBreak/>
        <w:t>Course validation</w:t>
      </w:r>
    </w:p>
    <w:p w14:paraId="0A08CB34" w14:textId="61651FE2" w:rsidR="00FA4630" w:rsidRDefault="00D44BF9" w:rsidP="00D44BF9">
      <w:pPr>
        <w:pStyle w:val="HeaderGreen"/>
      </w:pPr>
      <w:r>
        <w:t>General course eligibility</w:t>
      </w:r>
    </w:p>
    <w:p w14:paraId="5E3E6D81" w14:textId="77777777" w:rsidR="0051234C" w:rsidRDefault="0051234C" w:rsidP="00D44BF9">
      <w:pPr>
        <w:pStyle w:val="HeaderGreen"/>
      </w:pPr>
    </w:p>
    <w:p w14:paraId="29DAA002" w14:textId="2057F533" w:rsidR="0051234C" w:rsidRDefault="0051234C" w:rsidP="0051234C">
      <w:pPr>
        <w:pStyle w:val="Body12pt"/>
      </w:pPr>
      <w:r w:rsidRPr="0051234C">
        <w:t>For a course to be eligible for funding the following rules must apply:</w:t>
      </w:r>
    </w:p>
    <w:p w14:paraId="529A4833" w14:textId="77777777" w:rsidR="0051234C" w:rsidRDefault="0051234C" w:rsidP="0051234C">
      <w:pPr>
        <w:pStyle w:val="Body12pt"/>
      </w:pPr>
    </w:p>
    <w:p w14:paraId="597535B6" w14:textId="16C78928" w:rsidR="008A361A" w:rsidRDefault="00DD5BE9" w:rsidP="008A361A">
      <w:pPr>
        <w:pStyle w:val="Body12pt"/>
        <w:numPr>
          <w:ilvl w:val="0"/>
          <w:numId w:val="12"/>
        </w:numPr>
      </w:pPr>
      <w:r>
        <w:t>m</w:t>
      </w:r>
      <w:r w:rsidR="008A361A">
        <w:t>ust lead to a recognised qualification</w:t>
      </w:r>
    </w:p>
    <w:p w14:paraId="009A605C" w14:textId="257A26B4" w:rsidR="008A361A" w:rsidRDefault="00DD5BE9" w:rsidP="008A361A">
      <w:pPr>
        <w:pStyle w:val="Body12pt"/>
        <w:numPr>
          <w:ilvl w:val="0"/>
          <w:numId w:val="12"/>
        </w:numPr>
      </w:pPr>
      <w:r>
        <w:t>m</w:t>
      </w:r>
      <w:r w:rsidR="008A361A">
        <w:t xml:space="preserve">ust be provided by an </w:t>
      </w:r>
      <w:proofErr w:type="spellStart"/>
      <w:r w:rsidR="008A361A">
        <w:t>OfS</w:t>
      </w:r>
      <w:proofErr w:type="spellEnd"/>
      <w:r w:rsidR="008A361A">
        <w:t xml:space="preserve"> authorised provider</w:t>
      </w:r>
    </w:p>
    <w:p w14:paraId="3D6F69B6" w14:textId="5628ADDD" w:rsidR="008A361A" w:rsidRDefault="00DD5BE9" w:rsidP="008A361A">
      <w:pPr>
        <w:pStyle w:val="Body12pt"/>
        <w:numPr>
          <w:ilvl w:val="0"/>
          <w:numId w:val="12"/>
        </w:numPr>
      </w:pPr>
      <w:r>
        <w:t>h</w:t>
      </w:r>
      <w:r w:rsidR="008A361A">
        <w:t>ave at least 50% guided learning must be delivered within the UK</w:t>
      </w:r>
    </w:p>
    <w:p w14:paraId="76373F1C" w14:textId="7B49DE3C" w:rsidR="008A361A" w:rsidRDefault="00DD5BE9" w:rsidP="008A361A">
      <w:pPr>
        <w:pStyle w:val="Body12pt"/>
        <w:numPr>
          <w:ilvl w:val="0"/>
          <w:numId w:val="12"/>
        </w:numPr>
      </w:pPr>
      <w:r>
        <w:t>m</w:t>
      </w:r>
      <w:r w:rsidR="008A361A">
        <w:t>ust have academic years not exceeding 12 calendar months.</w:t>
      </w:r>
    </w:p>
    <w:p w14:paraId="407D123A" w14:textId="2F1914F0" w:rsidR="008A361A" w:rsidRDefault="00DD5BE9" w:rsidP="008A361A">
      <w:pPr>
        <w:pStyle w:val="Body12pt"/>
        <w:numPr>
          <w:ilvl w:val="0"/>
          <w:numId w:val="12"/>
        </w:numPr>
      </w:pPr>
      <w:r>
        <w:t>t</w:t>
      </w:r>
      <w:r w:rsidR="008A361A">
        <w:t>uition fees and fee loans must be paid direct to a UK bank account</w:t>
      </w:r>
    </w:p>
    <w:p w14:paraId="19311B0E" w14:textId="0F1C1201" w:rsidR="008A361A" w:rsidRDefault="00DD5BE9" w:rsidP="008A361A">
      <w:pPr>
        <w:pStyle w:val="Body12pt"/>
        <w:numPr>
          <w:ilvl w:val="0"/>
          <w:numId w:val="12"/>
        </w:numPr>
      </w:pPr>
      <w:r>
        <w:t>p</w:t>
      </w:r>
      <w:r w:rsidR="008A361A">
        <w:t xml:space="preserve">roviders must adhere to guidance from the Competitions </w:t>
      </w:r>
      <w:r>
        <w:t>and</w:t>
      </w:r>
      <w:r w:rsidR="008A361A">
        <w:t xml:space="preserve"> Markets Authority</w:t>
      </w:r>
    </w:p>
    <w:p w14:paraId="0BE7B5B7" w14:textId="309BE76E" w:rsidR="008A361A" w:rsidRDefault="00DD5BE9" w:rsidP="008A361A">
      <w:pPr>
        <w:pStyle w:val="Body12pt"/>
        <w:numPr>
          <w:ilvl w:val="0"/>
          <w:numId w:val="12"/>
        </w:numPr>
      </w:pPr>
      <w:r>
        <w:t>t</w:t>
      </w:r>
      <w:r w:rsidR="008A361A">
        <w:t xml:space="preserve">uition </w:t>
      </w:r>
      <w:r>
        <w:t>f</w:t>
      </w:r>
      <w:r w:rsidR="008A361A">
        <w:t xml:space="preserve">ees / </w:t>
      </w:r>
      <w:r>
        <w:t>f</w:t>
      </w:r>
      <w:r w:rsidR="008A361A">
        <w:t xml:space="preserve">ee </w:t>
      </w:r>
      <w:r>
        <w:t>l</w:t>
      </w:r>
      <w:r w:rsidR="008A361A">
        <w:t>oan limits must be charged to a maximum regulated amount</w:t>
      </w:r>
    </w:p>
    <w:p w14:paraId="5332E7D9" w14:textId="4D040466" w:rsidR="008A361A" w:rsidRDefault="00DD5BE9" w:rsidP="008A361A">
      <w:pPr>
        <w:pStyle w:val="Body12pt"/>
        <w:numPr>
          <w:ilvl w:val="0"/>
          <w:numId w:val="12"/>
        </w:numPr>
      </w:pPr>
      <w:r>
        <w:t>m</w:t>
      </w:r>
      <w:r w:rsidR="008A361A">
        <w:t xml:space="preserve">ust provide an average 21 hours of self </w:t>
      </w:r>
      <w:r>
        <w:t>and</w:t>
      </w:r>
      <w:r w:rsidR="008A361A">
        <w:t xml:space="preserve"> guided</w:t>
      </w:r>
      <w:r>
        <w:t xml:space="preserve"> </w:t>
      </w:r>
      <w:r w:rsidR="008A361A">
        <w:t>learning over a minimum 24 weeks</w:t>
      </w:r>
    </w:p>
    <w:p w14:paraId="62F55CC7" w14:textId="59C6F345" w:rsidR="008A361A" w:rsidRDefault="00DD5BE9" w:rsidP="008A361A">
      <w:pPr>
        <w:pStyle w:val="Body12pt"/>
        <w:numPr>
          <w:ilvl w:val="0"/>
          <w:numId w:val="12"/>
        </w:numPr>
      </w:pPr>
      <w:r>
        <w:t>c</w:t>
      </w:r>
      <w:r w:rsidR="008A361A">
        <w:t>redit values of courses must be definable</w:t>
      </w:r>
    </w:p>
    <w:p w14:paraId="75B95F42" w14:textId="115A59CF" w:rsidR="0051234C" w:rsidRDefault="00DD5BE9" w:rsidP="008A361A">
      <w:pPr>
        <w:pStyle w:val="Body12pt"/>
        <w:numPr>
          <w:ilvl w:val="0"/>
          <w:numId w:val="12"/>
        </w:numPr>
      </w:pPr>
      <w:r>
        <w:t>m</w:t>
      </w:r>
      <w:r w:rsidR="008A361A">
        <w:t>ust be scheduled as 3 academic terms over a year</w:t>
      </w:r>
    </w:p>
    <w:p w14:paraId="1647595D" w14:textId="77777777" w:rsidR="008A361A" w:rsidRDefault="008A361A" w:rsidP="008A361A">
      <w:pPr>
        <w:pStyle w:val="Body12pt"/>
      </w:pPr>
    </w:p>
    <w:p w14:paraId="7B9E5DC4" w14:textId="0B9309C6" w:rsidR="008A361A" w:rsidRDefault="008A361A" w:rsidP="008A361A">
      <w:pPr>
        <w:pStyle w:val="HeaderGreen"/>
      </w:pPr>
      <w:r>
        <w:t>Validation process</w:t>
      </w:r>
    </w:p>
    <w:p w14:paraId="0ED90AC4" w14:textId="77777777" w:rsidR="008A361A" w:rsidRDefault="008A361A" w:rsidP="008A361A">
      <w:pPr>
        <w:pStyle w:val="HeaderGreen"/>
      </w:pPr>
    </w:p>
    <w:p w14:paraId="13A1377C" w14:textId="7CB08CA4" w:rsidR="008A361A" w:rsidRDefault="008A361A" w:rsidP="008A361A">
      <w:pPr>
        <w:pStyle w:val="Body12pt"/>
      </w:pPr>
      <w:r w:rsidRPr="008A361A">
        <w:t>Service Management will begin course validation as soon as courses are added to the system.</w:t>
      </w:r>
    </w:p>
    <w:p w14:paraId="26A2C0D5" w14:textId="77777777" w:rsidR="008A361A" w:rsidRDefault="008A361A" w:rsidP="008A361A">
      <w:pPr>
        <w:pStyle w:val="Body12pt"/>
      </w:pPr>
    </w:p>
    <w:p w14:paraId="119DB22E" w14:textId="23C82600" w:rsidR="008A361A" w:rsidRDefault="008A361A" w:rsidP="008A361A">
      <w:pPr>
        <w:pStyle w:val="Body12pt"/>
        <w:numPr>
          <w:ilvl w:val="0"/>
          <w:numId w:val="13"/>
        </w:numPr>
      </w:pPr>
      <w:r>
        <w:t>Review course details to identify anomalies which do not comply with guidance and can impact student entitlement</w:t>
      </w:r>
      <w:r w:rsidR="00CC4770">
        <w:t>.</w:t>
      </w:r>
    </w:p>
    <w:p w14:paraId="18A3BEF5" w14:textId="77777777" w:rsidR="008A361A" w:rsidRDefault="008A361A" w:rsidP="008A361A">
      <w:pPr>
        <w:pStyle w:val="Body12pt"/>
      </w:pPr>
    </w:p>
    <w:p w14:paraId="1689207F" w14:textId="506680A7" w:rsidR="008A361A" w:rsidRDefault="008A361A" w:rsidP="008A361A">
      <w:pPr>
        <w:pStyle w:val="Body12pt"/>
        <w:numPr>
          <w:ilvl w:val="0"/>
          <w:numId w:val="13"/>
        </w:numPr>
      </w:pPr>
      <w:r>
        <w:t>Provide course trackers for providers to review, update and determine required change or justification for anomaly</w:t>
      </w:r>
      <w:r w:rsidR="00CC4770">
        <w:t>.</w:t>
      </w:r>
    </w:p>
    <w:p w14:paraId="5073E70B" w14:textId="77777777" w:rsidR="008A361A" w:rsidRDefault="008A361A" w:rsidP="008A361A">
      <w:pPr>
        <w:pStyle w:val="Body12pt"/>
      </w:pPr>
    </w:p>
    <w:p w14:paraId="339192B4" w14:textId="62E6BADD" w:rsidR="008A361A" w:rsidRDefault="008A361A" w:rsidP="008A361A">
      <w:pPr>
        <w:pStyle w:val="Body12pt"/>
        <w:numPr>
          <w:ilvl w:val="0"/>
          <w:numId w:val="13"/>
        </w:numPr>
      </w:pPr>
      <w:r>
        <w:t>Providers return completed course trackers to Service Management</w:t>
      </w:r>
      <w:r w:rsidR="00CC4770">
        <w:t>.</w:t>
      </w:r>
    </w:p>
    <w:p w14:paraId="2D4C149A" w14:textId="77777777" w:rsidR="008A361A" w:rsidRDefault="008A361A" w:rsidP="008A361A">
      <w:pPr>
        <w:pStyle w:val="Body12pt"/>
      </w:pPr>
    </w:p>
    <w:p w14:paraId="037BD184" w14:textId="489BA0C1" w:rsidR="008A361A" w:rsidRDefault="008A361A" w:rsidP="008A361A">
      <w:pPr>
        <w:pStyle w:val="Body12pt"/>
        <w:numPr>
          <w:ilvl w:val="0"/>
          <w:numId w:val="13"/>
        </w:numPr>
      </w:pPr>
      <w:r>
        <w:t>Courses are updated ahead of student application launch to prevent incorrect student assessments</w:t>
      </w:r>
      <w:r w:rsidR="00CC4770">
        <w:t>.</w:t>
      </w:r>
    </w:p>
    <w:p w14:paraId="74083C23" w14:textId="77777777" w:rsidR="008A361A" w:rsidRDefault="008A361A" w:rsidP="008A361A">
      <w:pPr>
        <w:pStyle w:val="Body12pt"/>
      </w:pPr>
    </w:p>
    <w:p w14:paraId="5CC66B06" w14:textId="1572D83E" w:rsidR="008A361A" w:rsidRDefault="008A361A" w:rsidP="008A361A">
      <w:pPr>
        <w:pStyle w:val="Body12pt"/>
        <w:numPr>
          <w:ilvl w:val="0"/>
          <w:numId w:val="13"/>
        </w:numPr>
      </w:pPr>
      <w:r>
        <w:t>Further course trackers are created as and when anomalies are identified</w:t>
      </w:r>
      <w:r w:rsidR="00CC4770">
        <w:t>.</w:t>
      </w:r>
    </w:p>
    <w:p w14:paraId="21A10469" w14:textId="77777777" w:rsidR="00CC4770" w:rsidRDefault="00CC4770" w:rsidP="00CC4770">
      <w:pPr>
        <w:pStyle w:val="ListParagraph"/>
      </w:pPr>
    </w:p>
    <w:p w14:paraId="01868B77" w14:textId="24A10CC2" w:rsidR="00CC4770" w:rsidRDefault="00CC4770" w:rsidP="00CC4770">
      <w:pPr>
        <w:pStyle w:val="Body12pt"/>
      </w:pPr>
      <w:r w:rsidRPr="00CC4770">
        <w:t>Where course amendments are required, these should be made in advance of the student application launch to avoid students being awarded the wrong funding and the need for reassessments.</w:t>
      </w:r>
    </w:p>
    <w:p w14:paraId="23998488" w14:textId="77777777" w:rsidR="00CC4770" w:rsidRDefault="00CC4770" w:rsidP="00CC4770">
      <w:pPr>
        <w:pStyle w:val="Body12pt"/>
      </w:pPr>
    </w:p>
    <w:p w14:paraId="268C07BD" w14:textId="4250EBA5" w:rsidR="00CC4770" w:rsidRDefault="00CC4770" w:rsidP="00CC4770">
      <w:pPr>
        <w:pStyle w:val="HeaderGreen"/>
      </w:pPr>
      <w:r w:rsidRPr="00CC4770">
        <w:t xml:space="preserve">Course </w:t>
      </w:r>
      <w:r>
        <w:t>a</w:t>
      </w:r>
      <w:r w:rsidRPr="00CC4770">
        <w:t xml:space="preserve">nomalies – </w:t>
      </w:r>
      <w:r>
        <w:t>f</w:t>
      </w:r>
      <w:r w:rsidRPr="00CC4770">
        <w:t>ull-</w:t>
      </w:r>
      <w:r>
        <w:t>t</w:t>
      </w:r>
      <w:r w:rsidRPr="00CC4770">
        <w:t>ime</w:t>
      </w:r>
    </w:p>
    <w:p w14:paraId="63170065" w14:textId="77777777" w:rsidR="00CC4770" w:rsidRDefault="00CC4770" w:rsidP="00CC4770">
      <w:pPr>
        <w:pStyle w:val="HeaderGreen"/>
      </w:pPr>
    </w:p>
    <w:p w14:paraId="54433B3C" w14:textId="6240C1BF" w:rsidR="00391D72" w:rsidRDefault="00391D72" w:rsidP="00391D72">
      <w:pPr>
        <w:pStyle w:val="Body12ptBold"/>
      </w:pPr>
      <w:r w:rsidRPr="00391D72">
        <w:t>Courses submitted and validated</w:t>
      </w:r>
    </w:p>
    <w:p w14:paraId="10A173C3" w14:textId="77777777" w:rsidR="00391D72" w:rsidRDefault="00391D72" w:rsidP="00391D72">
      <w:pPr>
        <w:pStyle w:val="Body12ptBold"/>
      </w:pPr>
    </w:p>
    <w:tbl>
      <w:tblPr>
        <w:tblStyle w:val="SLCTable"/>
        <w:tblW w:w="0" w:type="auto"/>
        <w:tblLook w:val="04A0" w:firstRow="1" w:lastRow="0" w:firstColumn="1" w:lastColumn="0" w:noHBand="0" w:noVBand="1"/>
      </w:tblPr>
      <w:tblGrid>
        <w:gridCol w:w="2687"/>
        <w:gridCol w:w="2978"/>
        <w:gridCol w:w="2977"/>
        <w:gridCol w:w="2977"/>
      </w:tblGrid>
      <w:tr w:rsidR="00391D72" w14:paraId="10D393B8" w14:textId="77777777" w:rsidTr="00325AA5">
        <w:trPr>
          <w:cnfStyle w:val="100000000000" w:firstRow="1" w:lastRow="0" w:firstColumn="0" w:lastColumn="0" w:oddVBand="0" w:evenVBand="0" w:oddHBand="0" w:evenHBand="0" w:firstRowFirstColumn="0" w:firstRowLastColumn="0" w:lastRowFirstColumn="0" w:lastRowLastColumn="0"/>
        </w:trPr>
        <w:tc>
          <w:tcPr>
            <w:tcW w:w="2687" w:type="dxa"/>
          </w:tcPr>
          <w:p w14:paraId="7DCAAE24" w14:textId="77777777" w:rsidR="00391D72" w:rsidRDefault="00391D72" w:rsidP="00391D72">
            <w:pPr>
              <w:pStyle w:val="Body12ptBold"/>
            </w:pPr>
          </w:p>
        </w:tc>
        <w:tc>
          <w:tcPr>
            <w:tcW w:w="2978" w:type="dxa"/>
          </w:tcPr>
          <w:p w14:paraId="63878C38" w14:textId="7375C9E0" w:rsidR="00391D72" w:rsidRPr="00391D72" w:rsidRDefault="00391D72" w:rsidP="00391D72">
            <w:pPr>
              <w:pStyle w:val="Body12ptBold"/>
              <w:rPr>
                <w:b/>
                <w:bCs w:val="0"/>
              </w:rPr>
            </w:pPr>
            <w:r w:rsidRPr="00391D72">
              <w:rPr>
                <w:b/>
                <w:bCs w:val="0"/>
              </w:rPr>
              <w:t>Academic year 2022/23</w:t>
            </w:r>
          </w:p>
        </w:tc>
        <w:tc>
          <w:tcPr>
            <w:tcW w:w="2977" w:type="dxa"/>
          </w:tcPr>
          <w:p w14:paraId="621B24F8" w14:textId="5DFF344C" w:rsidR="00391D72" w:rsidRPr="00391D72" w:rsidRDefault="00391D72" w:rsidP="00391D72">
            <w:pPr>
              <w:pStyle w:val="Body12ptBold"/>
              <w:rPr>
                <w:b/>
                <w:bCs w:val="0"/>
              </w:rPr>
            </w:pPr>
            <w:r w:rsidRPr="00391D72">
              <w:rPr>
                <w:b/>
                <w:bCs w:val="0"/>
              </w:rPr>
              <w:t>Academic year 2023/24</w:t>
            </w:r>
          </w:p>
        </w:tc>
        <w:tc>
          <w:tcPr>
            <w:tcW w:w="2977" w:type="dxa"/>
          </w:tcPr>
          <w:p w14:paraId="46663C20" w14:textId="349807ED" w:rsidR="00391D72" w:rsidRPr="00391D72" w:rsidRDefault="00391D72" w:rsidP="00391D72">
            <w:pPr>
              <w:pStyle w:val="Body12ptBold"/>
              <w:rPr>
                <w:b/>
                <w:bCs w:val="0"/>
              </w:rPr>
            </w:pPr>
            <w:r w:rsidRPr="00391D72">
              <w:rPr>
                <w:b/>
                <w:bCs w:val="0"/>
              </w:rPr>
              <w:t>Academic year 2024/25</w:t>
            </w:r>
          </w:p>
        </w:tc>
      </w:tr>
      <w:tr w:rsidR="00391D72" w14:paraId="12CE0A16" w14:textId="77777777" w:rsidTr="00325AA5">
        <w:trPr>
          <w:cnfStyle w:val="000000100000" w:firstRow="0" w:lastRow="0" w:firstColumn="0" w:lastColumn="0" w:oddVBand="0" w:evenVBand="0" w:oddHBand="1" w:evenHBand="0" w:firstRowFirstColumn="0" w:firstRowLastColumn="0" w:lastRowFirstColumn="0" w:lastRowLastColumn="0"/>
        </w:trPr>
        <w:tc>
          <w:tcPr>
            <w:tcW w:w="2687" w:type="dxa"/>
            <w:vAlign w:val="center"/>
          </w:tcPr>
          <w:p w14:paraId="1FD6BD35" w14:textId="2B32E0AC" w:rsidR="00391D72" w:rsidRDefault="00391D72" w:rsidP="00391D72">
            <w:pPr>
              <w:pStyle w:val="Body12ptBold"/>
            </w:pPr>
            <w:r>
              <w:t>Courses submitted and validated</w:t>
            </w:r>
          </w:p>
        </w:tc>
        <w:tc>
          <w:tcPr>
            <w:tcW w:w="2978" w:type="dxa"/>
            <w:vAlign w:val="center"/>
          </w:tcPr>
          <w:p w14:paraId="0C25590C" w14:textId="1D723053" w:rsidR="00391D72" w:rsidRPr="00A96F64" w:rsidRDefault="00325AA5" w:rsidP="00325AA5">
            <w:pPr>
              <w:pStyle w:val="Body12ptBold"/>
              <w:rPr>
                <w:b w:val="0"/>
                <w:bCs w:val="0"/>
              </w:rPr>
            </w:pPr>
            <w:r w:rsidRPr="00A96F64">
              <w:rPr>
                <w:b w:val="0"/>
                <w:bCs w:val="0"/>
              </w:rPr>
              <w:t>Over 95,000</w:t>
            </w:r>
          </w:p>
        </w:tc>
        <w:tc>
          <w:tcPr>
            <w:tcW w:w="2977" w:type="dxa"/>
            <w:vAlign w:val="center"/>
          </w:tcPr>
          <w:p w14:paraId="0FD5DD15" w14:textId="07059A61" w:rsidR="00391D72" w:rsidRPr="00A96F64" w:rsidRDefault="00325AA5" w:rsidP="00325AA5">
            <w:pPr>
              <w:pStyle w:val="Body12ptBold"/>
              <w:rPr>
                <w:b w:val="0"/>
                <w:bCs w:val="0"/>
              </w:rPr>
            </w:pPr>
            <w:r w:rsidRPr="00A96F64">
              <w:rPr>
                <w:b w:val="0"/>
                <w:bCs w:val="0"/>
              </w:rPr>
              <w:t>Over 96,000</w:t>
            </w:r>
          </w:p>
        </w:tc>
        <w:tc>
          <w:tcPr>
            <w:tcW w:w="2977" w:type="dxa"/>
            <w:vAlign w:val="center"/>
          </w:tcPr>
          <w:p w14:paraId="1A8F1931" w14:textId="5C650332" w:rsidR="00391D72" w:rsidRPr="00A96F64" w:rsidRDefault="00325AA5" w:rsidP="00325AA5">
            <w:pPr>
              <w:pStyle w:val="Body12ptBold"/>
              <w:rPr>
                <w:b w:val="0"/>
                <w:bCs w:val="0"/>
              </w:rPr>
            </w:pPr>
            <w:r w:rsidRPr="00A96F64">
              <w:rPr>
                <w:b w:val="0"/>
                <w:bCs w:val="0"/>
              </w:rPr>
              <w:t>Over 99,000</w:t>
            </w:r>
          </w:p>
        </w:tc>
      </w:tr>
      <w:tr w:rsidR="00391D72" w14:paraId="44D6B347" w14:textId="77777777" w:rsidTr="00325AA5">
        <w:trPr>
          <w:cnfStyle w:val="000000010000" w:firstRow="0" w:lastRow="0" w:firstColumn="0" w:lastColumn="0" w:oddVBand="0" w:evenVBand="0" w:oddHBand="0" w:evenHBand="1" w:firstRowFirstColumn="0" w:firstRowLastColumn="0" w:lastRowFirstColumn="0" w:lastRowLastColumn="0"/>
        </w:trPr>
        <w:tc>
          <w:tcPr>
            <w:tcW w:w="2687" w:type="dxa"/>
            <w:vAlign w:val="center"/>
          </w:tcPr>
          <w:p w14:paraId="0565B627" w14:textId="30B8627A" w:rsidR="00391D72" w:rsidRDefault="00391D72" w:rsidP="00391D72">
            <w:pPr>
              <w:pStyle w:val="Body12ptBold"/>
            </w:pPr>
            <w:r>
              <w:t>Providers validated</w:t>
            </w:r>
          </w:p>
        </w:tc>
        <w:tc>
          <w:tcPr>
            <w:tcW w:w="2978" w:type="dxa"/>
            <w:vAlign w:val="center"/>
          </w:tcPr>
          <w:p w14:paraId="61CD6F50" w14:textId="18319933" w:rsidR="00391D72" w:rsidRPr="00A96F64" w:rsidRDefault="00325AA5" w:rsidP="00325AA5">
            <w:pPr>
              <w:pStyle w:val="Body12ptBold"/>
              <w:rPr>
                <w:b w:val="0"/>
                <w:bCs w:val="0"/>
              </w:rPr>
            </w:pPr>
            <w:r w:rsidRPr="00A96F64">
              <w:rPr>
                <w:b w:val="0"/>
                <w:bCs w:val="0"/>
              </w:rPr>
              <w:t>682</w:t>
            </w:r>
          </w:p>
          <w:p w14:paraId="2A09A693" w14:textId="77777777" w:rsidR="00391D72" w:rsidRPr="00A96F64" w:rsidRDefault="00391D72" w:rsidP="00325AA5">
            <w:pPr>
              <w:pStyle w:val="Body12ptBold"/>
              <w:rPr>
                <w:b w:val="0"/>
                <w:bCs w:val="0"/>
              </w:rPr>
            </w:pPr>
          </w:p>
        </w:tc>
        <w:tc>
          <w:tcPr>
            <w:tcW w:w="2977" w:type="dxa"/>
            <w:vAlign w:val="center"/>
          </w:tcPr>
          <w:p w14:paraId="4F4815EA" w14:textId="56574043" w:rsidR="00391D72" w:rsidRPr="00A96F64" w:rsidRDefault="00325AA5" w:rsidP="00325AA5">
            <w:pPr>
              <w:pStyle w:val="Body12ptBold"/>
              <w:rPr>
                <w:b w:val="0"/>
                <w:bCs w:val="0"/>
              </w:rPr>
            </w:pPr>
            <w:r w:rsidRPr="00A96F64">
              <w:rPr>
                <w:b w:val="0"/>
                <w:bCs w:val="0"/>
              </w:rPr>
              <w:t>653</w:t>
            </w:r>
          </w:p>
        </w:tc>
        <w:tc>
          <w:tcPr>
            <w:tcW w:w="2977" w:type="dxa"/>
            <w:vAlign w:val="center"/>
          </w:tcPr>
          <w:p w14:paraId="1B7D9AE9" w14:textId="28E8C128" w:rsidR="00391D72" w:rsidRPr="00A96F64" w:rsidRDefault="00325AA5" w:rsidP="00325AA5">
            <w:pPr>
              <w:pStyle w:val="Body12ptBold"/>
              <w:rPr>
                <w:b w:val="0"/>
                <w:bCs w:val="0"/>
              </w:rPr>
            </w:pPr>
            <w:r w:rsidRPr="00A96F64">
              <w:rPr>
                <w:b w:val="0"/>
                <w:bCs w:val="0"/>
              </w:rPr>
              <w:t>622</w:t>
            </w:r>
          </w:p>
        </w:tc>
      </w:tr>
      <w:tr w:rsidR="00391D72" w14:paraId="2C605444" w14:textId="77777777" w:rsidTr="00325AA5">
        <w:trPr>
          <w:cnfStyle w:val="000000100000" w:firstRow="0" w:lastRow="0" w:firstColumn="0" w:lastColumn="0" w:oddVBand="0" w:evenVBand="0" w:oddHBand="1" w:evenHBand="0" w:firstRowFirstColumn="0" w:firstRowLastColumn="0" w:lastRowFirstColumn="0" w:lastRowLastColumn="0"/>
        </w:trPr>
        <w:tc>
          <w:tcPr>
            <w:tcW w:w="2687" w:type="dxa"/>
            <w:vAlign w:val="center"/>
          </w:tcPr>
          <w:p w14:paraId="7BA87797" w14:textId="4EAAA156" w:rsidR="00391D72" w:rsidRDefault="00391D72" w:rsidP="00391D72">
            <w:pPr>
              <w:pStyle w:val="Body12ptBold"/>
            </w:pPr>
            <w:r>
              <w:t>Providers with course anomalies</w:t>
            </w:r>
          </w:p>
        </w:tc>
        <w:tc>
          <w:tcPr>
            <w:tcW w:w="2978" w:type="dxa"/>
            <w:vAlign w:val="center"/>
          </w:tcPr>
          <w:p w14:paraId="0900E308" w14:textId="38E53812" w:rsidR="00391D72" w:rsidRPr="00A96F64" w:rsidRDefault="00325AA5" w:rsidP="00325AA5">
            <w:pPr>
              <w:pStyle w:val="Body12ptBold"/>
              <w:rPr>
                <w:b w:val="0"/>
                <w:bCs w:val="0"/>
              </w:rPr>
            </w:pPr>
            <w:r w:rsidRPr="00A96F64">
              <w:rPr>
                <w:b w:val="0"/>
                <w:bCs w:val="0"/>
              </w:rPr>
              <w:t>440</w:t>
            </w:r>
          </w:p>
        </w:tc>
        <w:tc>
          <w:tcPr>
            <w:tcW w:w="2977" w:type="dxa"/>
            <w:vAlign w:val="center"/>
          </w:tcPr>
          <w:p w14:paraId="02125119" w14:textId="66118807" w:rsidR="00391D72" w:rsidRPr="00A96F64" w:rsidRDefault="00325AA5" w:rsidP="00325AA5">
            <w:pPr>
              <w:pStyle w:val="Body12ptBold"/>
              <w:rPr>
                <w:b w:val="0"/>
                <w:bCs w:val="0"/>
              </w:rPr>
            </w:pPr>
            <w:r w:rsidRPr="00A96F64">
              <w:rPr>
                <w:b w:val="0"/>
                <w:bCs w:val="0"/>
              </w:rPr>
              <w:t>239</w:t>
            </w:r>
          </w:p>
        </w:tc>
        <w:tc>
          <w:tcPr>
            <w:tcW w:w="2977" w:type="dxa"/>
            <w:vAlign w:val="center"/>
          </w:tcPr>
          <w:p w14:paraId="13BDDF7C" w14:textId="7FCD94AB" w:rsidR="00391D72" w:rsidRPr="00A96F64" w:rsidRDefault="00325AA5" w:rsidP="00325AA5">
            <w:pPr>
              <w:pStyle w:val="Body12ptBold"/>
              <w:rPr>
                <w:b w:val="0"/>
                <w:bCs w:val="0"/>
              </w:rPr>
            </w:pPr>
            <w:r w:rsidRPr="00A96F64">
              <w:rPr>
                <w:b w:val="0"/>
                <w:bCs w:val="0"/>
              </w:rPr>
              <w:t>443</w:t>
            </w:r>
          </w:p>
        </w:tc>
      </w:tr>
      <w:tr w:rsidR="00391D72" w14:paraId="4F011BB8" w14:textId="77777777" w:rsidTr="00325AA5">
        <w:trPr>
          <w:cnfStyle w:val="000000010000" w:firstRow="0" w:lastRow="0" w:firstColumn="0" w:lastColumn="0" w:oddVBand="0" w:evenVBand="0" w:oddHBand="0" w:evenHBand="1" w:firstRowFirstColumn="0" w:firstRowLastColumn="0" w:lastRowFirstColumn="0" w:lastRowLastColumn="0"/>
        </w:trPr>
        <w:tc>
          <w:tcPr>
            <w:tcW w:w="2687" w:type="dxa"/>
            <w:vAlign w:val="center"/>
          </w:tcPr>
          <w:p w14:paraId="068D7991" w14:textId="466EF22C" w:rsidR="00391D72" w:rsidRDefault="00391D72" w:rsidP="00391D72">
            <w:pPr>
              <w:pStyle w:val="Body12ptBold"/>
            </w:pPr>
            <w:r>
              <w:t>Courses sent to providers for review</w:t>
            </w:r>
          </w:p>
        </w:tc>
        <w:tc>
          <w:tcPr>
            <w:tcW w:w="2978" w:type="dxa"/>
            <w:vAlign w:val="center"/>
          </w:tcPr>
          <w:p w14:paraId="7C7D6060" w14:textId="79A0D62A" w:rsidR="00391D72" w:rsidRPr="00A96F64" w:rsidRDefault="00325AA5" w:rsidP="00325AA5">
            <w:pPr>
              <w:pStyle w:val="Body12ptBold"/>
              <w:rPr>
                <w:b w:val="0"/>
                <w:bCs w:val="0"/>
              </w:rPr>
            </w:pPr>
            <w:r w:rsidRPr="00A96F64">
              <w:rPr>
                <w:b w:val="0"/>
                <w:bCs w:val="0"/>
              </w:rPr>
              <w:t>8,732</w:t>
            </w:r>
          </w:p>
        </w:tc>
        <w:tc>
          <w:tcPr>
            <w:tcW w:w="2977" w:type="dxa"/>
            <w:vAlign w:val="center"/>
          </w:tcPr>
          <w:p w14:paraId="70E7459F" w14:textId="4A01D675" w:rsidR="00391D72" w:rsidRPr="00A96F64" w:rsidRDefault="00325AA5" w:rsidP="00325AA5">
            <w:pPr>
              <w:pStyle w:val="Body12ptBold"/>
              <w:rPr>
                <w:b w:val="0"/>
                <w:bCs w:val="0"/>
              </w:rPr>
            </w:pPr>
            <w:r w:rsidRPr="00A96F64">
              <w:rPr>
                <w:b w:val="0"/>
                <w:bCs w:val="0"/>
              </w:rPr>
              <w:t>6,651</w:t>
            </w:r>
          </w:p>
        </w:tc>
        <w:tc>
          <w:tcPr>
            <w:tcW w:w="2977" w:type="dxa"/>
            <w:vAlign w:val="center"/>
          </w:tcPr>
          <w:p w14:paraId="7366E39D" w14:textId="36964C6C" w:rsidR="00391D72" w:rsidRPr="00A96F64" w:rsidRDefault="00325AA5" w:rsidP="00325AA5">
            <w:pPr>
              <w:pStyle w:val="Body12ptBold"/>
              <w:rPr>
                <w:b w:val="0"/>
                <w:bCs w:val="0"/>
              </w:rPr>
            </w:pPr>
            <w:r w:rsidRPr="00A96F64">
              <w:rPr>
                <w:b w:val="0"/>
                <w:bCs w:val="0"/>
              </w:rPr>
              <w:t>10,817</w:t>
            </w:r>
          </w:p>
        </w:tc>
      </w:tr>
      <w:tr w:rsidR="00391D72" w14:paraId="56FF2AB9" w14:textId="77777777" w:rsidTr="00325AA5">
        <w:trPr>
          <w:cnfStyle w:val="000000100000" w:firstRow="0" w:lastRow="0" w:firstColumn="0" w:lastColumn="0" w:oddVBand="0" w:evenVBand="0" w:oddHBand="1" w:evenHBand="0" w:firstRowFirstColumn="0" w:firstRowLastColumn="0" w:lastRowFirstColumn="0" w:lastRowLastColumn="0"/>
        </w:trPr>
        <w:tc>
          <w:tcPr>
            <w:tcW w:w="2687" w:type="dxa"/>
            <w:vAlign w:val="center"/>
          </w:tcPr>
          <w:p w14:paraId="78915288" w14:textId="7D303A54" w:rsidR="00391D72" w:rsidRDefault="00391D72" w:rsidP="00391D72">
            <w:pPr>
              <w:pStyle w:val="Body12ptBold"/>
            </w:pPr>
            <w:r>
              <w:t>Course errors confirmed by providers</w:t>
            </w:r>
          </w:p>
        </w:tc>
        <w:tc>
          <w:tcPr>
            <w:tcW w:w="2978" w:type="dxa"/>
            <w:vAlign w:val="center"/>
          </w:tcPr>
          <w:p w14:paraId="7A1832CC" w14:textId="547854BD" w:rsidR="00391D72" w:rsidRPr="00A96F64" w:rsidRDefault="00325AA5" w:rsidP="00325AA5">
            <w:pPr>
              <w:pStyle w:val="Body12ptBold"/>
              <w:rPr>
                <w:b w:val="0"/>
                <w:bCs w:val="0"/>
              </w:rPr>
            </w:pPr>
            <w:r w:rsidRPr="00A96F64">
              <w:rPr>
                <w:b w:val="0"/>
                <w:bCs w:val="0"/>
              </w:rPr>
              <w:t>3,798</w:t>
            </w:r>
          </w:p>
        </w:tc>
        <w:tc>
          <w:tcPr>
            <w:tcW w:w="2977" w:type="dxa"/>
            <w:vAlign w:val="center"/>
          </w:tcPr>
          <w:p w14:paraId="0D61C502" w14:textId="717244AC" w:rsidR="00391D72" w:rsidRPr="00A96F64" w:rsidRDefault="00325AA5" w:rsidP="00325AA5">
            <w:pPr>
              <w:pStyle w:val="Body12ptBold"/>
              <w:rPr>
                <w:b w:val="0"/>
                <w:bCs w:val="0"/>
              </w:rPr>
            </w:pPr>
            <w:r w:rsidRPr="00A96F64">
              <w:rPr>
                <w:b w:val="0"/>
                <w:bCs w:val="0"/>
              </w:rPr>
              <w:t>3,680</w:t>
            </w:r>
          </w:p>
        </w:tc>
        <w:tc>
          <w:tcPr>
            <w:tcW w:w="2977" w:type="dxa"/>
            <w:vAlign w:val="center"/>
          </w:tcPr>
          <w:p w14:paraId="7ACF8BCE" w14:textId="0043557D" w:rsidR="00391D72" w:rsidRPr="00A96F64" w:rsidRDefault="00325AA5" w:rsidP="00325AA5">
            <w:pPr>
              <w:pStyle w:val="Body12ptBold"/>
              <w:rPr>
                <w:b w:val="0"/>
                <w:bCs w:val="0"/>
              </w:rPr>
            </w:pPr>
            <w:r w:rsidRPr="00A96F64">
              <w:rPr>
                <w:b w:val="0"/>
                <w:bCs w:val="0"/>
              </w:rPr>
              <w:t>5,535</w:t>
            </w:r>
          </w:p>
        </w:tc>
      </w:tr>
    </w:tbl>
    <w:p w14:paraId="422DE344" w14:textId="77777777" w:rsidR="00391D72" w:rsidRDefault="00391D72" w:rsidP="00391D72">
      <w:pPr>
        <w:pStyle w:val="Body12ptBold"/>
      </w:pPr>
    </w:p>
    <w:p w14:paraId="46587FC1" w14:textId="77777777" w:rsidR="00325AA5" w:rsidRDefault="00325AA5" w:rsidP="00391D72">
      <w:pPr>
        <w:pStyle w:val="Body12ptBold"/>
      </w:pPr>
    </w:p>
    <w:p w14:paraId="00253B72" w14:textId="77777777" w:rsidR="00325AA5" w:rsidRDefault="00325AA5" w:rsidP="00391D72">
      <w:pPr>
        <w:pStyle w:val="Body12ptBold"/>
      </w:pPr>
    </w:p>
    <w:p w14:paraId="7D616FAF" w14:textId="77777777" w:rsidR="00325AA5" w:rsidRDefault="00325AA5" w:rsidP="00391D72">
      <w:pPr>
        <w:pStyle w:val="Body12ptBold"/>
      </w:pPr>
    </w:p>
    <w:p w14:paraId="792BC474" w14:textId="77777777" w:rsidR="00325AA5" w:rsidRDefault="00325AA5" w:rsidP="00391D72">
      <w:pPr>
        <w:pStyle w:val="Body12ptBold"/>
      </w:pPr>
    </w:p>
    <w:p w14:paraId="24173E71" w14:textId="77777777" w:rsidR="00325AA5" w:rsidRDefault="00325AA5" w:rsidP="00391D72">
      <w:pPr>
        <w:pStyle w:val="Body12ptBold"/>
      </w:pPr>
    </w:p>
    <w:p w14:paraId="76541428" w14:textId="77777777" w:rsidR="00325AA5" w:rsidRDefault="00325AA5" w:rsidP="00391D72">
      <w:pPr>
        <w:pStyle w:val="Body12ptBold"/>
      </w:pPr>
    </w:p>
    <w:p w14:paraId="265D7C92" w14:textId="67CD1F09" w:rsidR="00325AA5" w:rsidRDefault="00325AA5" w:rsidP="00325AA5">
      <w:pPr>
        <w:pStyle w:val="Header1"/>
      </w:pPr>
      <w:r>
        <w:lastRenderedPageBreak/>
        <w:t xml:space="preserve">Course </w:t>
      </w:r>
      <w:r w:rsidR="00DD5BE9">
        <w:t>c</w:t>
      </w:r>
      <w:r>
        <w:t>ollection</w:t>
      </w:r>
    </w:p>
    <w:p w14:paraId="36052623" w14:textId="210B84AD" w:rsidR="00325AA5" w:rsidRDefault="00325AA5" w:rsidP="00325AA5">
      <w:pPr>
        <w:pStyle w:val="HeaderGreen"/>
      </w:pPr>
      <w:r w:rsidRPr="00325AA5">
        <w:t xml:space="preserve">Course </w:t>
      </w:r>
      <w:r w:rsidR="00DD5BE9">
        <w:t>c</w:t>
      </w:r>
      <w:r w:rsidRPr="00325AA5">
        <w:t>ollection A</w:t>
      </w:r>
      <w:r>
        <w:t>cademic year 20</w:t>
      </w:r>
      <w:r w:rsidRPr="00325AA5">
        <w:t>25/26</w:t>
      </w:r>
    </w:p>
    <w:p w14:paraId="37423CB1" w14:textId="77777777" w:rsidR="00325AA5" w:rsidRDefault="00325AA5" w:rsidP="00325AA5">
      <w:pPr>
        <w:pStyle w:val="HeaderGreen"/>
      </w:pPr>
    </w:p>
    <w:tbl>
      <w:tblPr>
        <w:tblStyle w:val="SLCTable"/>
        <w:tblW w:w="0" w:type="auto"/>
        <w:tblLook w:val="04A0" w:firstRow="1" w:lastRow="0" w:firstColumn="1" w:lastColumn="0" w:noHBand="0" w:noVBand="1"/>
      </w:tblPr>
      <w:tblGrid>
        <w:gridCol w:w="4479"/>
        <w:gridCol w:w="4480"/>
        <w:gridCol w:w="4480"/>
      </w:tblGrid>
      <w:tr w:rsidR="0090783B" w14:paraId="7934282E" w14:textId="77777777" w:rsidTr="0090783B">
        <w:trPr>
          <w:cnfStyle w:val="100000000000" w:firstRow="1" w:lastRow="0" w:firstColumn="0" w:lastColumn="0" w:oddVBand="0" w:evenVBand="0" w:oddHBand="0" w:evenHBand="0" w:firstRowFirstColumn="0" w:firstRowLastColumn="0" w:lastRowFirstColumn="0" w:lastRowLastColumn="0"/>
        </w:trPr>
        <w:tc>
          <w:tcPr>
            <w:tcW w:w="4479" w:type="dxa"/>
          </w:tcPr>
          <w:p w14:paraId="3BE9F23C" w14:textId="6158CEDE" w:rsidR="0090783B" w:rsidRDefault="0090783B" w:rsidP="00A96F64">
            <w:pPr>
              <w:pStyle w:val="Body12pt"/>
            </w:pPr>
            <w:r>
              <w:t>Course type</w:t>
            </w:r>
          </w:p>
        </w:tc>
        <w:tc>
          <w:tcPr>
            <w:tcW w:w="4480" w:type="dxa"/>
          </w:tcPr>
          <w:p w14:paraId="18FEC636" w14:textId="091C7885" w:rsidR="0090783B" w:rsidRDefault="0090783B" w:rsidP="00A96F64">
            <w:pPr>
              <w:pStyle w:val="Body12pt"/>
            </w:pPr>
            <w:r>
              <w:t>Deadline</w:t>
            </w:r>
          </w:p>
        </w:tc>
        <w:tc>
          <w:tcPr>
            <w:tcW w:w="4480" w:type="dxa"/>
          </w:tcPr>
          <w:p w14:paraId="0106B401" w14:textId="67A29B6C" w:rsidR="0090783B" w:rsidRDefault="0090783B" w:rsidP="00A96F64">
            <w:pPr>
              <w:pStyle w:val="Body12pt"/>
            </w:pPr>
            <w:r>
              <w:t>Percentage submitted</w:t>
            </w:r>
          </w:p>
        </w:tc>
      </w:tr>
      <w:tr w:rsidR="0090783B" w14:paraId="304B47A4" w14:textId="77777777" w:rsidTr="0090783B">
        <w:trPr>
          <w:cnfStyle w:val="000000100000" w:firstRow="0" w:lastRow="0" w:firstColumn="0" w:lastColumn="0" w:oddVBand="0" w:evenVBand="0" w:oddHBand="1" w:evenHBand="0" w:firstRowFirstColumn="0" w:firstRowLastColumn="0" w:lastRowFirstColumn="0" w:lastRowLastColumn="0"/>
        </w:trPr>
        <w:tc>
          <w:tcPr>
            <w:tcW w:w="4479" w:type="dxa"/>
          </w:tcPr>
          <w:p w14:paraId="60F67827" w14:textId="2719C550" w:rsidR="0090783B" w:rsidRDefault="002F0396" w:rsidP="00A96F64">
            <w:pPr>
              <w:pStyle w:val="Body12pt"/>
            </w:pPr>
            <w:r>
              <w:t>Full-time undergraduate</w:t>
            </w:r>
          </w:p>
        </w:tc>
        <w:tc>
          <w:tcPr>
            <w:tcW w:w="4480" w:type="dxa"/>
          </w:tcPr>
          <w:p w14:paraId="6A6C56E4" w14:textId="092FDF34" w:rsidR="0090783B" w:rsidRDefault="002F0396" w:rsidP="00A96F64">
            <w:pPr>
              <w:pStyle w:val="Body12pt"/>
            </w:pPr>
            <w:r>
              <w:t>End of November</w:t>
            </w:r>
          </w:p>
        </w:tc>
        <w:tc>
          <w:tcPr>
            <w:tcW w:w="4480" w:type="dxa"/>
          </w:tcPr>
          <w:p w14:paraId="594E6A27" w14:textId="1372E93D" w:rsidR="0090783B" w:rsidRDefault="002F0396" w:rsidP="00A96F64">
            <w:pPr>
              <w:pStyle w:val="Body12pt"/>
            </w:pPr>
            <w:r w:rsidRPr="002F0396">
              <w:t>85% submitted by 2 weeks prior to service launch</w:t>
            </w:r>
          </w:p>
        </w:tc>
      </w:tr>
      <w:tr w:rsidR="0090783B" w14:paraId="4982FD28" w14:textId="77777777" w:rsidTr="0090783B">
        <w:trPr>
          <w:cnfStyle w:val="000000010000" w:firstRow="0" w:lastRow="0" w:firstColumn="0" w:lastColumn="0" w:oddVBand="0" w:evenVBand="0" w:oddHBand="0" w:evenHBand="1" w:firstRowFirstColumn="0" w:firstRowLastColumn="0" w:lastRowFirstColumn="0" w:lastRowLastColumn="0"/>
        </w:trPr>
        <w:tc>
          <w:tcPr>
            <w:tcW w:w="4479" w:type="dxa"/>
          </w:tcPr>
          <w:p w14:paraId="53082084" w14:textId="5C6C223E" w:rsidR="0090783B" w:rsidRDefault="002F0396" w:rsidP="00A96F64">
            <w:pPr>
              <w:pStyle w:val="Body12pt"/>
            </w:pPr>
            <w:r>
              <w:t>Scottish postgraduate</w:t>
            </w:r>
          </w:p>
        </w:tc>
        <w:tc>
          <w:tcPr>
            <w:tcW w:w="4480" w:type="dxa"/>
          </w:tcPr>
          <w:p w14:paraId="79D43BCB" w14:textId="71333E72" w:rsidR="0090783B" w:rsidRDefault="002F0396" w:rsidP="00A96F64">
            <w:pPr>
              <w:pStyle w:val="Body12pt"/>
            </w:pPr>
            <w:r>
              <w:t>End of November</w:t>
            </w:r>
          </w:p>
        </w:tc>
        <w:tc>
          <w:tcPr>
            <w:tcW w:w="4480" w:type="dxa"/>
          </w:tcPr>
          <w:p w14:paraId="5E06E4C3" w14:textId="25CA158C" w:rsidR="0090783B" w:rsidRDefault="002F0396" w:rsidP="00A96F64">
            <w:pPr>
              <w:pStyle w:val="Body12pt"/>
            </w:pPr>
            <w:r w:rsidRPr="002F0396">
              <w:t>85% submitted by 1 week prior to service launch</w:t>
            </w:r>
          </w:p>
        </w:tc>
      </w:tr>
      <w:tr w:rsidR="0090783B" w14:paraId="103F0774" w14:textId="77777777" w:rsidTr="0090783B">
        <w:trPr>
          <w:cnfStyle w:val="000000100000" w:firstRow="0" w:lastRow="0" w:firstColumn="0" w:lastColumn="0" w:oddVBand="0" w:evenVBand="0" w:oddHBand="1" w:evenHBand="0" w:firstRowFirstColumn="0" w:firstRowLastColumn="0" w:lastRowFirstColumn="0" w:lastRowLastColumn="0"/>
        </w:trPr>
        <w:tc>
          <w:tcPr>
            <w:tcW w:w="4479" w:type="dxa"/>
          </w:tcPr>
          <w:p w14:paraId="4136CC16" w14:textId="7DD912BD" w:rsidR="0090783B" w:rsidRDefault="002F0396" w:rsidP="00A96F64">
            <w:pPr>
              <w:pStyle w:val="Body12pt"/>
            </w:pPr>
            <w:r>
              <w:t>Part-time undergraduate</w:t>
            </w:r>
          </w:p>
        </w:tc>
        <w:tc>
          <w:tcPr>
            <w:tcW w:w="4480" w:type="dxa"/>
          </w:tcPr>
          <w:p w14:paraId="6E4038B0" w14:textId="2338B035" w:rsidR="0090783B" w:rsidRDefault="002F0396" w:rsidP="00A96F64">
            <w:pPr>
              <w:pStyle w:val="Body12pt"/>
            </w:pPr>
            <w:r>
              <w:t>Mid-February</w:t>
            </w:r>
          </w:p>
        </w:tc>
        <w:tc>
          <w:tcPr>
            <w:tcW w:w="4480" w:type="dxa"/>
          </w:tcPr>
          <w:p w14:paraId="30CBA9D4" w14:textId="63787C19" w:rsidR="0090783B" w:rsidRDefault="002F0396" w:rsidP="00A96F64">
            <w:pPr>
              <w:pStyle w:val="Body12pt"/>
            </w:pPr>
            <w:r w:rsidRPr="002F0396">
              <w:t>85% submitted by 2 weeks prior to service launch</w:t>
            </w:r>
          </w:p>
        </w:tc>
      </w:tr>
      <w:tr w:rsidR="0090783B" w14:paraId="6D5BF333" w14:textId="77777777" w:rsidTr="0090783B">
        <w:trPr>
          <w:cnfStyle w:val="000000010000" w:firstRow="0" w:lastRow="0" w:firstColumn="0" w:lastColumn="0" w:oddVBand="0" w:evenVBand="0" w:oddHBand="0" w:evenHBand="1" w:firstRowFirstColumn="0" w:firstRowLastColumn="0" w:lastRowFirstColumn="0" w:lastRowLastColumn="0"/>
        </w:trPr>
        <w:tc>
          <w:tcPr>
            <w:tcW w:w="4479" w:type="dxa"/>
          </w:tcPr>
          <w:p w14:paraId="5D0DB405" w14:textId="264DE8EE" w:rsidR="0090783B" w:rsidRDefault="002F0396" w:rsidP="00A96F64">
            <w:pPr>
              <w:pStyle w:val="Body12pt"/>
            </w:pPr>
            <w:r>
              <w:t>Postgraduate masters and doctoral</w:t>
            </w:r>
          </w:p>
        </w:tc>
        <w:tc>
          <w:tcPr>
            <w:tcW w:w="4480" w:type="dxa"/>
          </w:tcPr>
          <w:p w14:paraId="71C01D92" w14:textId="44CFD605" w:rsidR="0090783B" w:rsidRDefault="002F0396" w:rsidP="00A96F64">
            <w:pPr>
              <w:pStyle w:val="Body12pt"/>
            </w:pPr>
            <w:r>
              <w:t>Beginning of March</w:t>
            </w:r>
          </w:p>
        </w:tc>
        <w:tc>
          <w:tcPr>
            <w:tcW w:w="4480" w:type="dxa"/>
          </w:tcPr>
          <w:p w14:paraId="723B709C" w14:textId="0927265F" w:rsidR="0090783B" w:rsidRDefault="002F0396" w:rsidP="00A96F64">
            <w:pPr>
              <w:pStyle w:val="Body12pt"/>
            </w:pPr>
            <w:r w:rsidRPr="002F0396">
              <w:t>85% submitted by 2 weeks prior to service launch</w:t>
            </w:r>
          </w:p>
        </w:tc>
      </w:tr>
      <w:tr w:rsidR="0090783B" w14:paraId="7FE9555E" w14:textId="77777777" w:rsidTr="0090783B">
        <w:trPr>
          <w:cnfStyle w:val="000000100000" w:firstRow="0" w:lastRow="0" w:firstColumn="0" w:lastColumn="0" w:oddVBand="0" w:evenVBand="0" w:oddHBand="1" w:evenHBand="0" w:firstRowFirstColumn="0" w:firstRowLastColumn="0" w:lastRowFirstColumn="0" w:lastRowLastColumn="0"/>
        </w:trPr>
        <w:tc>
          <w:tcPr>
            <w:tcW w:w="4479" w:type="dxa"/>
          </w:tcPr>
          <w:p w14:paraId="72F947DA" w14:textId="4C7D5845" w:rsidR="0090783B" w:rsidRDefault="002F0396" w:rsidP="00A96F64">
            <w:pPr>
              <w:pStyle w:val="Body12pt"/>
            </w:pPr>
            <w:r>
              <w:t>Postgraduate NI (PGNI)</w:t>
            </w:r>
          </w:p>
        </w:tc>
        <w:tc>
          <w:tcPr>
            <w:tcW w:w="4480" w:type="dxa"/>
          </w:tcPr>
          <w:p w14:paraId="604671D3" w14:textId="433086FD" w:rsidR="0090783B" w:rsidRDefault="002F0396" w:rsidP="00A96F64">
            <w:pPr>
              <w:pStyle w:val="Body12pt"/>
            </w:pPr>
            <w:r>
              <w:t>Mid-February</w:t>
            </w:r>
          </w:p>
        </w:tc>
        <w:tc>
          <w:tcPr>
            <w:tcW w:w="4480" w:type="dxa"/>
          </w:tcPr>
          <w:p w14:paraId="0989A0C5" w14:textId="1D4B14E7" w:rsidR="0090783B" w:rsidRDefault="002F0396" w:rsidP="00A96F64">
            <w:pPr>
              <w:pStyle w:val="Body12pt"/>
            </w:pPr>
            <w:r w:rsidRPr="002F0396">
              <w:t>85% submitted by 1 week prior to service launch</w:t>
            </w:r>
          </w:p>
        </w:tc>
      </w:tr>
    </w:tbl>
    <w:p w14:paraId="75F3FED4" w14:textId="77777777" w:rsidR="00863730" w:rsidRDefault="00863730" w:rsidP="00325AA5">
      <w:pPr>
        <w:pStyle w:val="HeaderGreen"/>
      </w:pPr>
    </w:p>
    <w:p w14:paraId="399FBA65" w14:textId="77777777" w:rsidR="002F0396" w:rsidRDefault="002F0396" w:rsidP="002F0396">
      <w:pPr>
        <w:pStyle w:val="Body12pt"/>
      </w:pPr>
      <w:r w:rsidRPr="002F0396">
        <w:t xml:space="preserve">Course collection dates will differ depending on the service and the domicile. </w:t>
      </w:r>
    </w:p>
    <w:p w14:paraId="0CE1C3E9" w14:textId="77777777" w:rsidR="002F0396" w:rsidRDefault="002F0396" w:rsidP="002F0396">
      <w:pPr>
        <w:pStyle w:val="Body12pt"/>
      </w:pPr>
    </w:p>
    <w:p w14:paraId="541BE6D6" w14:textId="23659A0F" w:rsidR="002F0396" w:rsidRDefault="002F0396" w:rsidP="002F0396">
      <w:pPr>
        <w:pStyle w:val="Body12pt"/>
      </w:pPr>
      <w:r w:rsidRPr="002F0396">
        <w:t xml:space="preserve">CMS </w:t>
      </w:r>
      <w:r w:rsidR="00DD5BE9">
        <w:t>t</w:t>
      </w:r>
      <w:r w:rsidRPr="002F0396">
        <w:t>eam will notify you when opening the service and remind you of the deadline for completion.</w:t>
      </w:r>
    </w:p>
    <w:p w14:paraId="5244CC5E" w14:textId="77777777" w:rsidR="002F0396" w:rsidRDefault="002F0396" w:rsidP="002F0396">
      <w:pPr>
        <w:pStyle w:val="Body12pt"/>
      </w:pPr>
    </w:p>
    <w:p w14:paraId="09DC3D2C" w14:textId="77777777" w:rsidR="002F0396" w:rsidRDefault="002F0396" w:rsidP="002F0396">
      <w:pPr>
        <w:pStyle w:val="Body12pt"/>
      </w:pPr>
    </w:p>
    <w:p w14:paraId="2900DB7D" w14:textId="77777777" w:rsidR="002F0396" w:rsidRDefault="002F0396" w:rsidP="002F0396">
      <w:pPr>
        <w:pStyle w:val="Body12pt"/>
      </w:pPr>
    </w:p>
    <w:p w14:paraId="5AFAA019" w14:textId="77777777" w:rsidR="002F0396" w:rsidRDefault="002F0396" w:rsidP="002F0396">
      <w:pPr>
        <w:pStyle w:val="Body12pt"/>
      </w:pPr>
    </w:p>
    <w:p w14:paraId="3EDFB9B3" w14:textId="77777777" w:rsidR="002F0396" w:rsidRDefault="002F0396" w:rsidP="002F0396">
      <w:pPr>
        <w:pStyle w:val="Body12pt"/>
      </w:pPr>
    </w:p>
    <w:p w14:paraId="6A126DB3" w14:textId="77777777" w:rsidR="002F0396" w:rsidRDefault="002F0396" w:rsidP="002F0396">
      <w:pPr>
        <w:pStyle w:val="Body12pt"/>
      </w:pPr>
    </w:p>
    <w:p w14:paraId="2E535358" w14:textId="77777777" w:rsidR="00A96F64" w:rsidRDefault="00A96F64" w:rsidP="002F0396">
      <w:pPr>
        <w:pStyle w:val="HeaderGreen"/>
      </w:pPr>
    </w:p>
    <w:p w14:paraId="00F3726A" w14:textId="77777777" w:rsidR="00A96F64" w:rsidRDefault="00A96F64" w:rsidP="002F0396">
      <w:pPr>
        <w:pStyle w:val="HeaderGreen"/>
      </w:pPr>
    </w:p>
    <w:p w14:paraId="17402B93" w14:textId="5C3B7BAC" w:rsidR="002F0396" w:rsidRDefault="002F0396" w:rsidP="002F0396">
      <w:pPr>
        <w:pStyle w:val="HeaderGreen"/>
      </w:pPr>
      <w:r w:rsidRPr="002F0396">
        <w:lastRenderedPageBreak/>
        <w:t xml:space="preserve">Specific Welsh </w:t>
      </w:r>
      <w:r w:rsidR="00DD5BE9">
        <w:t>d</w:t>
      </w:r>
      <w:r w:rsidRPr="002F0396">
        <w:t>esignation</w:t>
      </w:r>
    </w:p>
    <w:p w14:paraId="2F55D9B7" w14:textId="77777777" w:rsidR="002F0396" w:rsidRDefault="002F0396" w:rsidP="002F0396">
      <w:pPr>
        <w:pStyle w:val="HeaderGreen"/>
      </w:pPr>
    </w:p>
    <w:p w14:paraId="4002A71D" w14:textId="77777777" w:rsidR="002F0396" w:rsidRDefault="002F0396" w:rsidP="002F0396">
      <w:pPr>
        <w:pStyle w:val="Body12pt"/>
      </w:pPr>
      <w:r>
        <w:t xml:space="preserve">The duties and responsibilities of HEFCW have transferred to the Commission for Tertiary Education and </w:t>
      </w:r>
    </w:p>
    <w:p w14:paraId="40D1D296" w14:textId="77777777" w:rsidR="002F0396" w:rsidRDefault="002F0396" w:rsidP="002F0396">
      <w:pPr>
        <w:pStyle w:val="Body12pt"/>
      </w:pPr>
      <w:r>
        <w:t>Research (</w:t>
      </w:r>
      <w:proofErr w:type="spellStart"/>
      <w:r>
        <w:t>Medr</w:t>
      </w:r>
      <w:proofErr w:type="spellEnd"/>
      <w:r>
        <w:t>) as of 1 August 2024.</w:t>
      </w:r>
    </w:p>
    <w:p w14:paraId="4DC96A05" w14:textId="77777777" w:rsidR="002F0396" w:rsidRDefault="002F0396" w:rsidP="002F0396">
      <w:pPr>
        <w:pStyle w:val="Body12pt"/>
      </w:pPr>
    </w:p>
    <w:p w14:paraId="5A8BF9AD" w14:textId="2809427C" w:rsidR="00325AA5" w:rsidRDefault="002F0396" w:rsidP="002F0396">
      <w:pPr>
        <w:pStyle w:val="Body12pt"/>
      </w:pPr>
      <w:r>
        <w:t xml:space="preserve">You must not add courses to Courses Management Service (CMS) until specific designation is granted </w:t>
      </w:r>
      <w:r w:rsidR="00DD5BE9">
        <w:t>e</w:t>
      </w:r>
      <w:r>
        <w:t>ach</w:t>
      </w:r>
      <w:r w:rsidR="00A31CD4">
        <w:t xml:space="preserve"> academic year</w:t>
      </w:r>
      <w:r>
        <w:t xml:space="preserve">. </w:t>
      </w:r>
      <w:proofErr w:type="spellStart"/>
      <w:r>
        <w:t>Medr</w:t>
      </w:r>
      <w:proofErr w:type="spellEnd"/>
      <w:r>
        <w:t xml:space="preserve"> can be contacted at </w:t>
      </w:r>
      <w:hyperlink r:id="rId9" w:history="1">
        <w:r w:rsidRPr="004A2E87">
          <w:rPr>
            <w:rStyle w:val="Hyperlink"/>
          </w:rPr>
          <w:t>regulationadvice@medr.cymru</w:t>
        </w:r>
      </w:hyperlink>
      <w:r>
        <w:t xml:space="preserve"> </w:t>
      </w:r>
    </w:p>
    <w:p w14:paraId="7F6F9BE0" w14:textId="77777777" w:rsidR="002F0396" w:rsidRDefault="002F0396" w:rsidP="002F0396">
      <w:pPr>
        <w:pStyle w:val="Body12pt"/>
      </w:pPr>
    </w:p>
    <w:p w14:paraId="7C4F76BF" w14:textId="421E16E2" w:rsidR="002F0396" w:rsidRDefault="002F0396" w:rsidP="002F0396">
      <w:pPr>
        <w:pStyle w:val="HeaderGreen"/>
      </w:pPr>
      <w:r>
        <w:t xml:space="preserve">Who should contact </w:t>
      </w:r>
      <w:proofErr w:type="spellStart"/>
      <w:r>
        <w:t>Medr</w:t>
      </w:r>
      <w:proofErr w:type="spellEnd"/>
      <w:r>
        <w:t>?</w:t>
      </w:r>
    </w:p>
    <w:p w14:paraId="707B1ECD" w14:textId="77777777" w:rsidR="002F0396" w:rsidRDefault="002F0396" w:rsidP="002F0396">
      <w:pPr>
        <w:pStyle w:val="HeaderGreen"/>
      </w:pPr>
    </w:p>
    <w:p w14:paraId="0E5A2DE9" w14:textId="5E7137ED" w:rsidR="002F0396" w:rsidRDefault="002F0396" w:rsidP="002F0396">
      <w:pPr>
        <w:pStyle w:val="Body12pt"/>
        <w:rPr>
          <w:b/>
          <w:bCs/>
        </w:rPr>
      </w:pPr>
      <w:r w:rsidRPr="00AA2CF1">
        <w:rPr>
          <w:b/>
          <w:bCs/>
        </w:rPr>
        <w:t>English providers</w:t>
      </w:r>
      <w:r w:rsidR="00AA2CF1">
        <w:rPr>
          <w:b/>
          <w:bCs/>
        </w:rPr>
        <w:t>:</w:t>
      </w:r>
    </w:p>
    <w:p w14:paraId="6F299FB1" w14:textId="77777777" w:rsidR="00AA2CF1" w:rsidRDefault="00AA2CF1" w:rsidP="002F0396">
      <w:pPr>
        <w:pStyle w:val="Body12pt"/>
        <w:rPr>
          <w:b/>
          <w:bCs/>
        </w:rPr>
      </w:pPr>
    </w:p>
    <w:p w14:paraId="74188605" w14:textId="6AAE2FC0" w:rsidR="00AA2CF1" w:rsidRPr="00AA2CF1" w:rsidRDefault="00AA2CF1" w:rsidP="00AA2CF1">
      <w:pPr>
        <w:pStyle w:val="Body12pt"/>
      </w:pPr>
      <w:r w:rsidRPr="00AA2CF1">
        <w:t>• Any English provider in the Approved category with the Office for Students (</w:t>
      </w:r>
      <w:proofErr w:type="spellStart"/>
      <w:r w:rsidRPr="00AA2CF1">
        <w:t>OfS</w:t>
      </w:r>
      <w:proofErr w:type="spellEnd"/>
      <w:r w:rsidRPr="00AA2CF1">
        <w:t>).</w:t>
      </w:r>
    </w:p>
    <w:p w14:paraId="385492BF" w14:textId="3FB68D6B" w:rsidR="00AA2CF1" w:rsidRPr="00AA2CF1" w:rsidRDefault="00AA2CF1" w:rsidP="00AA2CF1">
      <w:pPr>
        <w:pStyle w:val="Body12pt"/>
      </w:pPr>
      <w:r w:rsidRPr="00AA2CF1">
        <w:t>• Any English provider seeking to offer courses to Welsh students via a franchise arrangement with a partner that is not</w:t>
      </w:r>
      <w:r>
        <w:t xml:space="preserve"> </w:t>
      </w:r>
      <w:r w:rsidRPr="00AA2CF1">
        <w:t xml:space="preserve">registered with </w:t>
      </w:r>
      <w:proofErr w:type="spellStart"/>
      <w:r w:rsidRPr="00AA2CF1">
        <w:t>OfS</w:t>
      </w:r>
      <w:proofErr w:type="spellEnd"/>
      <w:r w:rsidRPr="00AA2CF1">
        <w:t xml:space="preserve"> or is an alternative provider.</w:t>
      </w:r>
    </w:p>
    <w:p w14:paraId="79904A42" w14:textId="3B2A631D" w:rsidR="00AA2CF1" w:rsidRDefault="00AA2CF1" w:rsidP="00AA2CF1">
      <w:pPr>
        <w:pStyle w:val="Body12pt"/>
      </w:pPr>
      <w:r w:rsidRPr="00AA2CF1">
        <w:t>• Any SCITT provider seeking to offer courses to Welsh students.</w:t>
      </w:r>
    </w:p>
    <w:p w14:paraId="175959C0" w14:textId="77777777" w:rsidR="00AA2CF1" w:rsidRDefault="00AA2CF1" w:rsidP="00AA2CF1">
      <w:pPr>
        <w:pStyle w:val="Body12pt"/>
      </w:pPr>
    </w:p>
    <w:p w14:paraId="583407FC" w14:textId="1F35F0DD" w:rsidR="00AA2CF1" w:rsidRDefault="00AA2CF1" w:rsidP="00AA2CF1">
      <w:pPr>
        <w:pStyle w:val="Body12pt"/>
        <w:rPr>
          <w:b/>
          <w:bCs/>
        </w:rPr>
      </w:pPr>
      <w:r w:rsidRPr="00AA2CF1">
        <w:rPr>
          <w:b/>
          <w:bCs/>
        </w:rPr>
        <w:t>Northern Irish providers</w:t>
      </w:r>
      <w:r>
        <w:rPr>
          <w:b/>
          <w:bCs/>
        </w:rPr>
        <w:t>:</w:t>
      </w:r>
    </w:p>
    <w:p w14:paraId="2BF100EB" w14:textId="77777777" w:rsidR="00AA2CF1" w:rsidRDefault="00AA2CF1" w:rsidP="00AA2CF1">
      <w:pPr>
        <w:pStyle w:val="Body12pt"/>
        <w:rPr>
          <w:b/>
          <w:bCs/>
        </w:rPr>
      </w:pPr>
    </w:p>
    <w:p w14:paraId="67309F82" w14:textId="4BCD0BBA" w:rsidR="00AA2CF1" w:rsidRPr="00AA2CF1" w:rsidRDefault="00AA2CF1" w:rsidP="00AA2CF1">
      <w:pPr>
        <w:pStyle w:val="Body12pt"/>
      </w:pPr>
      <w:r w:rsidRPr="00AA2CF1">
        <w:t>• Northern Irish alternative providers.</w:t>
      </w:r>
    </w:p>
    <w:p w14:paraId="087B76A0" w14:textId="691D8439" w:rsidR="00AA2CF1" w:rsidRDefault="00AA2CF1" w:rsidP="00AA2CF1">
      <w:pPr>
        <w:pStyle w:val="Body12pt"/>
      </w:pPr>
      <w:r w:rsidRPr="00AA2CF1">
        <w:t xml:space="preserve">• Any Northern Irish providers seeking to offer courses to Welsh students via a franchise arrangement with a partner that is an alternative provider or not registered with </w:t>
      </w:r>
      <w:proofErr w:type="spellStart"/>
      <w:r w:rsidRPr="00AA2CF1">
        <w:t>OfS</w:t>
      </w:r>
      <w:proofErr w:type="spellEnd"/>
      <w:r w:rsidRPr="00AA2CF1">
        <w:t>.</w:t>
      </w:r>
    </w:p>
    <w:p w14:paraId="70DDBC4F" w14:textId="77777777" w:rsidR="00AA2CF1" w:rsidRDefault="00AA2CF1" w:rsidP="00AA2CF1">
      <w:pPr>
        <w:pStyle w:val="Body12pt"/>
      </w:pPr>
    </w:p>
    <w:p w14:paraId="3673C565" w14:textId="34FCBBAC" w:rsidR="00AA2CF1" w:rsidRDefault="00AA2CF1" w:rsidP="00AA2CF1">
      <w:pPr>
        <w:pStyle w:val="Body12pt"/>
        <w:rPr>
          <w:b/>
          <w:bCs/>
        </w:rPr>
      </w:pPr>
      <w:r w:rsidRPr="00AA2CF1">
        <w:rPr>
          <w:b/>
          <w:bCs/>
        </w:rPr>
        <w:t>Scottish provider</w:t>
      </w:r>
      <w:r>
        <w:rPr>
          <w:b/>
          <w:bCs/>
        </w:rPr>
        <w:t>s:</w:t>
      </w:r>
    </w:p>
    <w:p w14:paraId="69FA6DD7" w14:textId="77777777" w:rsidR="00AA2CF1" w:rsidRDefault="00AA2CF1" w:rsidP="00AA2CF1">
      <w:pPr>
        <w:pStyle w:val="Body12pt"/>
        <w:rPr>
          <w:b/>
          <w:bCs/>
        </w:rPr>
      </w:pPr>
    </w:p>
    <w:p w14:paraId="110125E4" w14:textId="77777777" w:rsidR="00AA2CF1" w:rsidRPr="00AA2CF1" w:rsidRDefault="00AA2CF1" w:rsidP="00AA2CF1">
      <w:pPr>
        <w:pStyle w:val="Body12pt"/>
      </w:pPr>
      <w:r w:rsidRPr="00AA2CF1">
        <w:t xml:space="preserve">• Scottish alternative providers. </w:t>
      </w:r>
    </w:p>
    <w:p w14:paraId="1742CB2C" w14:textId="35582145" w:rsidR="00AA2CF1" w:rsidRDefault="00AA2CF1" w:rsidP="00AA2CF1">
      <w:pPr>
        <w:pStyle w:val="Body12pt"/>
      </w:pPr>
      <w:r w:rsidRPr="00AA2CF1">
        <w:t xml:space="preserve">• Any Scottish provider seeking to offer courses to Welsh students via a franchise arrangement with a partner that is an alternative provider or not registered with </w:t>
      </w:r>
      <w:proofErr w:type="spellStart"/>
      <w:r w:rsidRPr="00AA2CF1">
        <w:t>OfS</w:t>
      </w:r>
      <w:proofErr w:type="spellEnd"/>
      <w:r w:rsidRPr="00AA2CF1">
        <w:t>.</w:t>
      </w:r>
    </w:p>
    <w:p w14:paraId="3F4F9DBB" w14:textId="77777777" w:rsidR="00AA2CF1" w:rsidRDefault="00AA2CF1" w:rsidP="00AA2CF1">
      <w:pPr>
        <w:pStyle w:val="Body12pt"/>
      </w:pPr>
    </w:p>
    <w:p w14:paraId="278EDC5D" w14:textId="37C105C4" w:rsidR="00AA2CF1" w:rsidRDefault="00AA2CF1" w:rsidP="00AA2CF1">
      <w:pPr>
        <w:pStyle w:val="Body12pt"/>
        <w:rPr>
          <w:b/>
          <w:bCs/>
        </w:rPr>
      </w:pPr>
      <w:r w:rsidRPr="00AA2CF1">
        <w:rPr>
          <w:b/>
          <w:bCs/>
        </w:rPr>
        <w:lastRenderedPageBreak/>
        <w:t>Welsh providers</w:t>
      </w:r>
      <w:r>
        <w:rPr>
          <w:b/>
          <w:bCs/>
        </w:rPr>
        <w:t>:</w:t>
      </w:r>
    </w:p>
    <w:p w14:paraId="40CE3185" w14:textId="77777777" w:rsidR="00AA2CF1" w:rsidRDefault="00AA2CF1" w:rsidP="00AA2CF1">
      <w:pPr>
        <w:pStyle w:val="Body12pt"/>
        <w:rPr>
          <w:b/>
          <w:bCs/>
        </w:rPr>
      </w:pPr>
    </w:p>
    <w:p w14:paraId="0F9E6A54" w14:textId="77777777" w:rsidR="00AA2CF1" w:rsidRPr="00AA2CF1" w:rsidRDefault="00AA2CF1" w:rsidP="00AA2CF1">
      <w:pPr>
        <w:pStyle w:val="Body12pt"/>
      </w:pPr>
      <w:r w:rsidRPr="00AA2CF1">
        <w:t xml:space="preserve">• Welsh alternative providers </w:t>
      </w:r>
    </w:p>
    <w:p w14:paraId="0001D999" w14:textId="05F47E50" w:rsidR="00AA2CF1" w:rsidRDefault="00AA2CF1" w:rsidP="00AA2CF1">
      <w:pPr>
        <w:pStyle w:val="Body12pt"/>
      </w:pPr>
      <w:r w:rsidRPr="00AA2CF1">
        <w:t xml:space="preserve">• Any Welsh provider seeking to offer courses to Welsh students via a franchise arrangement with a partner that is an alternative provider or not registered with </w:t>
      </w:r>
      <w:proofErr w:type="spellStart"/>
      <w:r w:rsidRPr="00AA2CF1">
        <w:t>OfS</w:t>
      </w:r>
      <w:proofErr w:type="spellEnd"/>
      <w:r w:rsidRPr="00AA2CF1">
        <w:t>.</w:t>
      </w:r>
    </w:p>
    <w:p w14:paraId="02E4150D" w14:textId="77777777" w:rsidR="00AA2CF1" w:rsidRDefault="00AA2CF1" w:rsidP="00AA2CF1">
      <w:pPr>
        <w:pStyle w:val="Body12pt"/>
      </w:pPr>
    </w:p>
    <w:p w14:paraId="30AE84D8" w14:textId="77777777" w:rsidR="00AA4470" w:rsidRDefault="00AA4470" w:rsidP="00AA2CF1">
      <w:pPr>
        <w:pStyle w:val="Header1"/>
      </w:pPr>
    </w:p>
    <w:p w14:paraId="3E15FB73" w14:textId="77777777" w:rsidR="00AA4470" w:rsidRDefault="00AA4470" w:rsidP="00AA2CF1">
      <w:pPr>
        <w:pStyle w:val="Header1"/>
      </w:pPr>
    </w:p>
    <w:p w14:paraId="28516F23" w14:textId="77777777" w:rsidR="00AA4470" w:rsidRDefault="00AA4470" w:rsidP="00AA2CF1">
      <w:pPr>
        <w:pStyle w:val="Header1"/>
      </w:pPr>
    </w:p>
    <w:p w14:paraId="3422E68F" w14:textId="77777777" w:rsidR="00AA4470" w:rsidRDefault="00AA4470" w:rsidP="00AA2CF1">
      <w:pPr>
        <w:pStyle w:val="Header1"/>
      </w:pPr>
    </w:p>
    <w:p w14:paraId="572D1CC8" w14:textId="77777777" w:rsidR="00AA4470" w:rsidRDefault="00AA4470" w:rsidP="00AA2CF1">
      <w:pPr>
        <w:pStyle w:val="Header1"/>
      </w:pPr>
    </w:p>
    <w:p w14:paraId="7BCB3EF5" w14:textId="77777777" w:rsidR="00AA4470" w:rsidRDefault="00AA4470" w:rsidP="00AA2CF1">
      <w:pPr>
        <w:pStyle w:val="Header1"/>
      </w:pPr>
    </w:p>
    <w:p w14:paraId="5CF2FFA8" w14:textId="77777777" w:rsidR="00AA4470" w:rsidRDefault="00AA4470" w:rsidP="00AA2CF1">
      <w:pPr>
        <w:pStyle w:val="Header1"/>
      </w:pPr>
    </w:p>
    <w:p w14:paraId="41CCA0B5" w14:textId="77777777" w:rsidR="00AA4470" w:rsidRDefault="00AA4470" w:rsidP="00AA2CF1">
      <w:pPr>
        <w:pStyle w:val="Header1"/>
      </w:pPr>
    </w:p>
    <w:p w14:paraId="703B7A37" w14:textId="7146BCF9" w:rsidR="00AA2CF1" w:rsidRDefault="00AA2CF1" w:rsidP="00AA2CF1">
      <w:pPr>
        <w:pStyle w:val="Header1"/>
      </w:pPr>
      <w:r>
        <w:lastRenderedPageBreak/>
        <w:t>Changes to tuition fees</w:t>
      </w:r>
    </w:p>
    <w:p w14:paraId="6C86A1BD" w14:textId="5194DD39" w:rsidR="00AA2CF1" w:rsidRDefault="00AA2CF1" w:rsidP="00AA2CF1">
      <w:pPr>
        <w:pStyle w:val="HeaderGreen"/>
      </w:pPr>
      <w:r w:rsidRPr="00AA2CF1">
        <w:t xml:space="preserve">Tuition </w:t>
      </w:r>
      <w:r>
        <w:t>f</w:t>
      </w:r>
      <w:r w:rsidRPr="00AA2CF1">
        <w:t xml:space="preserve">ees for </w:t>
      </w:r>
      <w:r>
        <w:t>academic year</w:t>
      </w:r>
      <w:r w:rsidRPr="00AA2CF1">
        <w:t xml:space="preserve"> </w:t>
      </w:r>
      <w:r>
        <w:t>20</w:t>
      </w:r>
      <w:r w:rsidRPr="00AA2CF1">
        <w:t>25/26 (England only)</w:t>
      </w:r>
    </w:p>
    <w:p w14:paraId="77C69A26" w14:textId="77777777" w:rsidR="00AA2CF1" w:rsidRDefault="00AA2CF1" w:rsidP="00AA2CF1">
      <w:pPr>
        <w:pStyle w:val="HeaderGreen"/>
      </w:pPr>
    </w:p>
    <w:p w14:paraId="4194D0C9" w14:textId="77777777" w:rsidR="00AA2CF1" w:rsidRDefault="00AA2CF1" w:rsidP="00AA2CF1">
      <w:pPr>
        <w:pStyle w:val="Body12pt"/>
      </w:pPr>
      <w:r w:rsidRPr="00AA2CF1">
        <w:t>Maximum tuition fees for undergraduate students starting or continuing full-time and part-time courses at approved (fee cap) providers in 2025 to 2026 academic year will be increased by 3.1%.</w:t>
      </w:r>
    </w:p>
    <w:p w14:paraId="66296FC8" w14:textId="77777777" w:rsidR="00AA2CF1" w:rsidRDefault="00AA2CF1" w:rsidP="00AA2CF1">
      <w:pPr>
        <w:pStyle w:val="Body12pt"/>
      </w:pPr>
    </w:p>
    <w:p w14:paraId="45389141" w14:textId="051A89E9" w:rsidR="00AA2CF1" w:rsidRDefault="00AA2CF1" w:rsidP="00AA2CF1">
      <w:pPr>
        <w:pStyle w:val="Body12pt"/>
      </w:pPr>
      <w:r w:rsidRPr="00AA2CF1">
        <w:t>These changes will apply from 1 August 2025.</w:t>
      </w:r>
    </w:p>
    <w:p w14:paraId="761E2ABC" w14:textId="77777777" w:rsidR="00AA2CF1" w:rsidRDefault="00AA2CF1" w:rsidP="00AA2CF1">
      <w:pPr>
        <w:pStyle w:val="Body12pt"/>
      </w:pPr>
    </w:p>
    <w:tbl>
      <w:tblPr>
        <w:tblStyle w:val="SLCTable"/>
        <w:tblW w:w="0" w:type="auto"/>
        <w:tblLook w:val="04A0" w:firstRow="1" w:lastRow="0" w:firstColumn="1" w:lastColumn="0" w:noHBand="0" w:noVBand="1"/>
      </w:tblPr>
      <w:tblGrid>
        <w:gridCol w:w="3359"/>
        <w:gridCol w:w="3360"/>
        <w:gridCol w:w="3360"/>
        <w:gridCol w:w="3360"/>
      </w:tblGrid>
      <w:tr w:rsidR="00AA2CF1" w14:paraId="7F05A192" w14:textId="77777777" w:rsidTr="00AA2CF1">
        <w:trPr>
          <w:cnfStyle w:val="100000000000" w:firstRow="1" w:lastRow="0" w:firstColumn="0" w:lastColumn="0" w:oddVBand="0" w:evenVBand="0" w:oddHBand="0" w:evenHBand="0" w:firstRowFirstColumn="0" w:firstRowLastColumn="0" w:lastRowFirstColumn="0" w:lastRowLastColumn="0"/>
        </w:trPr>
        <w:tc>
          <w:tcPr>
            <w:tcW w:w="3359" w:type="dxa"/>
          </w:tcPr>
          <w:p w14:paraId="172E9C97" w14:textId="3223BC9D" w:rsidR="00AA2CF1" w:rsidRDefault="00AA2CF1" w:rsidP="00AA2CF1">
            <w:pPr>
              <w:pStyle w:val="Body12pt"/>
            </w:pPr>
            <w:r>
              <w:t>Provider type</w:t>
            </w:r>
          </w:p>
        </w:tc>
        <w:tc>
          <w:tcPr>
            <w:tcW w:w="3360" w:type="dxa"/>
          </w:tcPr>
          <w:p w14:paraId="723A1C94" w14:textId="4EDC8D14" w:rsidR="00AA2CF1" w:rsidRDefault="00AA2CF1" w:rsidP="00AA2CF1">
            <w:pPr>
              <w:pStyle w:val="Body12pt"/>
            </w:pPr>
            <w:r>
              <w:t>Standard full-time courses amount</w:t>
            </w:r>
          </w:p>
        </w:tc>
        <w:tc>
          <w:tcPr>
            <w:tcW w:w="3360" w:type="dxa"/>
          </w:tcPr>
          <w:p w14:paraId="3A673DCC" w14:textId="14618B95" w:rsidR="00AA2CF1" w:rsidRDefault="00AA2CF1" w:rsidP="00AA2CF1">
            <w:pPr>
              <w:pStyle w:val="Body12pt"/>
            </w:pPr>
            <w:r>
              <w:t>Full-time accelerated courses amount</w:t>
            </w:r>
          </w:p>
        </w:tc>
        <w:tc>
          <w:tcPr>
            <w:tcW w:w="3360" w:type="dxa"/>
          </w:tcPr>
          <w:p w14:paraId="25BA8178" w14:textId="4623003B" w:rsidR="00AA2CF1" w:rsidRDefault="00AA2CF1" w:rsidP="00AA2CF1">
            <w:pPr>
              <w:pStyle w:val="Body12pt"/>
            </w:pPr>
            <w:r>
              <w:t>Part time courses amount</w:t>
            </w:r>
          </w:p>
        </w:tc>
      </w:tr>
      <w:tr w:rsidR="00AA2CF1" w14:paraId="7C892C04" w14:textId="77777777" w:rsidTr="00AA2CF1">
        <w:trPr>
          <w:cnfStyle w:val="000000100000" w:firstRow="0" w:lastRow="0" w:firstColumn="0" w:lastColumn="0" w:oddVBand="0" w:evenVBand="0" w:oddHBand="1" w:evenHBand="0" w:firstRowFirstColumn="0" w:firstRowLastColumn="0" w:lastRowFirstColumn="0" w:lastRowLastColumn="0"/>
        </w:trPr>
        <w:tc>
          <w:tcPr>
            <w:tcW w:w="3359" w:type="dxa"/>
          </w:tcPr>
          <w:p w14:paraId="16145B19" w14:textId="753F234F" w:rsidR="00AA2CF1" w:rsidRDefault="00AA2CF1" w:rsidP="00AA2CF1">
            <w:pPr>
              <w:pStyle w:val="Body12pt"/>
            </w:pPr>
            <w:r>
              <w:t>Providers with TEF and an APP</w:t>
            </w:r>
          </w:p>
        </w:tc>
        <w:tc>
          <w:tcPr>
            <w:tcW w:w="3360" w:type="dxa"/>
          </w:tcPr>
          <w:p w14:paraId="25F787B4" w14:textId="04397D00" w:rsidR="00AA2CF1" w:rsidRDefault="00AA2CF1" w:rsidP="00AA2CF1">
            <w:pPr>
              <w:pStyle w:val="Body12pt"/>
            </w:pPr>
            <w:r>
              <w:t>£9,535</w:t>
            </w:r>
          </w:p>
        </w:tc>
        <w:tc>
          <w:tcPr>
            <w:tcW w:w="3360" w:type="dxa"/>
          </w:tcPr>
          <w:p w14:paraId="241DD205" w14:textId="1BDA94EC" w:rsidR="00AA2CF1" w:rsidRDefault="00AA2CF1" w:rsidP="00AA2CF1">
            <w:pPr>
              <w:pStyle w:val="Body12pt"/>
            </w:pPr>
            <w:r>
              <w:t>£11,440</w:t>
            </w:r>
          </w:p>
        </w:tc>
        <w:tc>
          <w:tcPr>
            <w:tcW w:w="3360" w:type="dxa"/>
          </w:tcPr>
          <w:p w14:paraId="270EC430" w14:textId="2A395F4E" w:rsidR="00AA2CF1" w:rsidRDefault="00AA2CF1" w:rsidP="00AA2CF1">
            <w:pPr>
              <w:pStyle w:val="Body12pt"/>
            </w:pPr>
            <w:r>
              <w:t>£7,145</w:t>
            </w:r>
          </w:p>
        </w:tc>
      </w:tr>
      <w:tr w:rsidR="00AA2CF1" w14:paraId="50C8D2FB" w14:textId="77777777" w:rsidTr="00AA2CF1">
        <w:trPr>
          <w:cnfStyle w:val="000000010000" w:firstRow="0" w:lastRow="0" w:firstColumn="0" w:lastColumn="0" w:oddVBand="0" w:evenVBand="0" w:oddHBand="0" w:evenHBand="1" w:firstRowFirstColumn="0" w:firstRowLastColumn="0" w:lastRowFirstColumn="0" w:lastRowLastColumn="0"/>
        </w:trPr>
        <w:tc>
          <w:tcPr>
            <w:tcW w:w="3359" w:type="dxa"/>
          </w:tcPr>
          <w:p w14:paraId="356A99B4" w14:textId="558BCED4" w:rsidR="00AA2CF1" w:rsidRDefault="00AA2CF1" w:rsidP="00AA2CF1">
            <w:pPr>
              <w:pStyle w:val="Body12pt"/>
            </w:pPr>
            <w:r>
              <w:t>Providers without TEF and with an app</w:t>
            </w:r>
          </w:p>
        </w:tc>
        <w:tc>
          <w:tcPr>
            <w:tcW w:w="3360" w:type="dxa"/>
          </w:tcPr>
          <w:p w14:paraId="559758CB" w14:textId="5E2494C4" w:rsidR="00AA2CF1" w:rsidRDefault="00AA2CF1" w:rsidP="00AA2CF1">
            <w:pPr>
              <w:pStyle w:val="Body12pt"/>
            </w:pPr>
            <w:r>
              <w:t>£9,275</w:t>
            </w:r>
          </w:p>
        </w:tc>
        <w:tc>
          <w:tcPr>
            <w:tcW w:w="3360" w:type="dxa"/>
          </w:tcPr>
          <w:p w14:paraId="2A364BC0" w14:textId="1ABFB7F4" w:rsidR="00AA2CF1" w:rsidRDefault="002A3316" w:rsidP="00AA2CF1">
            <w:pPr>
              <w:pStyle w:val="Body12pt"/>
            </w:pPr>
            <w:r>
              <w:t>£11,130</w:t>
            </w:r>
          </w:p>
        </w:tc>
        <w:tc>
          <w:tcPr>
            <w:tcW w:w="3360" w:type="dxa"/>
          </w:tcPr>
          <w:p w14:paraId="0004BCBA" w14:textId="463C2673" w:rsidR="00AA2CF1" w:rsidRDefault="002A3316" w:rsidP="00AA2CF1">
            <w:pPr>
              <w:pStyle w:val="Body12pt"/>
            </w:pPr>
            <w:r>
              <w:t>£6,955</w:t>
            </w:r>
          </w:p>
        </w:tc>
      </w:tr>
      <w:tr w:rsidR="00AA2CF1" w14:paraId="2B1D24B1" w14:textId="77777777" w:rsidTr="00AA2CF1">
        <w:trPr>
          <w:cnfStyle w:val="000000100000" w:firstRow="0" w:lastRow="0" w:firstColumn="0" w:lastColumn="0" w:oddVBand="0" w:evenVBand="0" w:oddHBand="1" w:evenHBand="0" w:firstRowFirstColumn="0" w:firstRowLastColumn="0" w:lastRowFirstColumn="0" w:lastRowLastColumn="0"/>
        </w:trPr>
        <w:tc>
          <w:tcPr>
            <w:tcW w:w="3359" w:type="dxa"/>
          </w:tcPr>
          <w:p w14:paraId="4352D5DB" w14:textId="322C37DB" w:rsidR="00AA2CF1" w:rsidRDefault="00AA2CF1" w:rsidP="00AA2CF1">
            <w:pPr>
              <w:pStyle w:val="Body12pt"/>
            </w:pPr>
            <w:r>
              <w:t>Providers with TEF and without an APP</w:t>
            </w:r>
          </w:p>
        </w:tc>
        <w:tc>
          <w:tcPr>
            <w:tcW w:w="3360" w:type="dxa"/>
          </w:tcPr>
          <w:p w14:paraId="5BE2FEC2" w14:textId="36A0C1A8" w:rsidR="00AA2CF1" w:rsidRDefault="002A3316" w:rsidP="00AA2CF1">
            <w:pPr>
              <w:pStyle w:val="Body12pt"/>
            </w:pPr>
            <w:r>
              <w:t>£6,355</w:t>
            </w:r>
          </w:p>
        </w:tc>
        <w:tc>
          <w:tcPr>
            <w:tcW w:w="3360" w:type="dxa"/>
          </w:tcPr>
          <w:p w14:paraId="2E544E44" w14:textId="03F5BD57" w:rsidR="00AA2CF1" w:rsidRDefault="002A3316" w:rsidP="00AA2CF1">
            <w:pPr>
              <w:pStyle w:val="Body12pt"/>
            </w:pPr>
            <w:r>
              <w:t>£7,625</w:t>
            </w:r>
          </w:p>
        </w:tc>
        <w:tc>
          <w:tcPr>
            <w:tcW w:w="3360" w:type="dxa"/>
          </w:tcPr>
          <w:p w14:paraId="734B4EDB" w14:textId="66488849" w:rsidR="00AA2CF1" w:rsidRDefault="002A3316" w:rsidP="00AA2CF1">
            <w:pPr>
              <w:pStyle w:val="Body12pt"/>
            </w:pPr>
            <w:r>
              <w:t>£4,765</w:t>
            </w:r>
          </w:p>
        </w:tc>
      </w:tr>
      <w:tr w:rsidR="00AA2CF1" w14:paraId="155CEFC1" w14:textId="77777777" w:rsidTr="00AA2CF1">
        <w:trPr>
          <w:cnfStyle w:val="000000010000" w:firstRow="0" w:lastRow="0" w:firstColumn="0" w:lastColumn="0" w:oddVBand="0" w:evenVBand="0" w:oddHBand="0" w:evenHBand="1" w:firstRowFirstColumn="0" w:firstRowLastColumn="0" w:lastRowFirstColumn="0" w:lastRowLastColumn="0"/>
        </w:trPr>
        <w:tc>
          <w:tcPr>
            <w:tcW w:w="3359" w:type="dxa"/>
          </w:tcPr>
          <w:p w14:paraId="5CD3492E" w14:textId="5892DE05" w:rsidR="00AA2CF1" w:rsidRDefault="00AA2CF1" w:rsidP="00AA2CF1">
            <w:pPr>
              <w:pStyle w:val="Body12pt"/>
            </w:pPr>
            <w:r>
              <w:t>Providers without TEF or an app</w:t>
            </w:r>
          </w:p>
        </w:tc>
        <w:tc>
          <w:tcPr>
            <w:tcW w:w="3360" w:type="dxa"/>
          </w:tcPr>
          <w:p w14:paraId="30AB5921" w14:textId="254CB788" w:rsidR="00AA2CF1" w:rsidRDefault="002A3316" w:rsidP="00AA2CF1">
            <w:pPr>
              <w:pStyle w:val="Body12pt"/>
            </w:pPr>
            <w:r>
              <w:t>£6,185</w:t>
            </w:r>
          </w:p>
        </w:tc>
        <w:tc>
          <w:tcPr>
            <w:tcW w:w="3360" w:type="dxa"/>
          </w:tcPr>
          <w:p w14:paraId="388724A6" w14:textId="5F177486" w:rsidR="00AA2CF1" w:rsidRDefault="002A3316" w:rsidP="00AA2CF1">
            <w:pPr>
              <w:pStyle w:val="Body12pt"/>
            </w:pPr>
            <w:r>
              <w:t>£7,420</w:t>
            </w:r>
          </w:p>
        </w:tc>
        <w:tc>
          <w:tcPr>
            <w:tcW w:w="3360" w:type="dxa"/>
          </w:tcPr>
          <w:p w14:paraId="3395D018" w14:textId="53FE4E28" w:rsidR="00AA2CF1" w:rsidRDefault="002A3316" w:rsidP="00AA2CF1">
            <w:pPr>
              <w:pStyle w:val="Body12pt"/>
            </w:pPr>
            <w:r>
              <w:t>£4,635</w:t>
            </w:r>
          </w:p>
        </w:tc>
      </w:tr>
    </w:tbl>
    <w:p w14:paraId="6A8DE170" w14:textId="77777777" w:rsidR="00AA2CF1" w:rsidRDefault="00AA2CF1" w:rsidP="00AA2CF1">
      <w:pPr>
        <w:pStyle w:val="Body12pt"/>
      </w:pPr>
    </w:p>
    <w:p w14:paraId="7EE9E3B9" w14:textId="77777777" w:rsidR="00142DAE" w:rsidRDefault="00142DAE" w:rsidP="00AA2CF1">
      <w:pPr>
        <w:pStyle w:val="Body12pt"/>
      </w:pPr>
    </w:p>
    <w:p w14:paraId="30A6DFC7" w14:textId="77777777" w:rsidR="00142DAE" w:rsidRDefault="00142DAE" w:rsidP="00AA2CF1">
      <w:pPr>
        <w:pStyle w:val="Body12pt"/>
      </w:pPr>
    </w:p>
    <w:p w14:paraId="11D46A4A" w14:textId="77777777" w:rsidR="00142DAE" w:rsidRDefault="00142DAE" w:rsidP="00AA2CF1">
      <w:pPr>
        <w:pStyle w:val="Body12pt"/>
      </w:pPr>
    </w:p>
    <w:p w14:paraId="01188889" w14:textId="77777777" w:rsidR="00AA4470" w:rsidRDefault="00AA4470" w:rsidP="00142DAE">
      <w:pPr>
        <w:pStyle w:val="Header1"/>
      </w:pPr>
    </w:p>
    <w:p w14:paraId="5641F1CD" w14:textId="77777777" w:rsidR="00AA4470" w:rsidRDefault="00AA4470" w:rsidP="00142DAE">
      <w:pPr>
        <w:pStyle w:val="Header1"/>
      </w:pPr>
    </w:p>
    <w:p w14:paraId="6622904B" w14:textId="253AA7BE" w:rsidR="00142DAE" w:rsidRDefault="00142DAE" w:rsidP="00142DAE">
      <w:pPr>
        <w:pStyle w:val="Header1"/>
      </w:pPr>
      <w:r>
        <w:lastRenderedPageBreak/>
        <w:t>Rollover process</w:t>
      </w:r>
    </w:p>
    <w:p w14:paraId="7B0E8EDE" w14:textId="1B4A7912" w:rsidR="00142DAE" w:rsidRDefault="00142DAE" w:rsidP="00142DAE">
      <w:pPr>
        <w:pStyle w:val="HeaderGreen"/>
      </w:pPr>
      <w:r>
        <w:t>Course integrity</w:t>
      </w:r>
    </w:p>
    <w:p w14:paraId="1A392F2F" w14:textId="77777777" w:rsidR="00142DAE" w:rsidRDefault="00142DAE" w:rsidP="00142DAE">
      <w:pPr>
        <w:pStyle w:val="HeaderGreen"/>
      </w:pPr>
    </w:p>
    <w:p w14:paraId="0FB58B85" w14:textId="233F7C59" w:rsidR="00142DAE" w:rsidRDefault="00142DAE" w:rsidP="00142DAE">
      <w:pPr>
        <w:pStyle w:val="Body12pt"/>
      </w:pPr>
      <w:r>
        <w:t xml:space="preserve">• You should only add designated courses (which are valid for statutory financial support) to the Courses Management Service. </w:t>
      </w:r>
      <w:r>
        <w:br/>
      </w:r>
    </w:p>
    <w:p w14:paraId="5CB0D781" w14:textId="55921894" w:rsidR="00142DAE" w:rsidRDefault="00142DAE" w:rsidP="00142DAE">
      <w:pPr>
        <w:pStyle w:val="Body12pt"/>
      </w:pPr>
      <w:r>
        <w:t>• A course that has been designated under the Student Support Regulations allows eligible students on this course to access loans and grants from the Student Loans Company.</w:t>
      </w:r>
      <w:r>
        <w:br/>
      </w:r>
    </w:p>
    <w:p w14:paraId="18A99B6A" w14:textId="60C5D316" w:rsidR="00142DAE" w:rsidRDefault="00142DAE" w:rsidP="00142DAE">
      <w:pPr>
        <w:pStyle w:val="Body12pt"/>
      </w:pPr>
      <w:r>
        <w:t xml:space="preserve">• It is </w:t>
      </w:r>
      <w:r w:rsidRPr="00142DAE">
        <w:rPr>
          <w:b/>
          <w:bCs/>
        </w:rPr>
        <w:t>your responsibility</w:t>
      </w:r>
      <w:r>
        <w:t xml:space="preserve"> to ensure that </w:t>
      </w:r>
      <w:proofErr w:type="gramStart"/>
      <w:r>
        <w:t>all of</w:t>
      </w:r>
      <w:proofErr w:type="gramEnd"/>
      <w:r>
        <w:t xml:space="preserve"> the information provided is correct and that the relevant attributes have been added to a course. Course attributes can significantly affect a student’s entitlement.</w:t>
      </w:r>
      <w:r>
        <w:br/>
      </w:r>
    </w:p>
    <w:p w14:paraId="41A7628A" w14:textId="17B83723" w:rsidR="00142DAE" w:rsidRDefault="00142DAE" w:rsidP="00142DAE">
      <w:pPr>
        <w:pStyle w:val="Body12pt"/>
      </w:pPr>
      <w:r>
        <w:t xml:space="preserve">• Whilst SLC conduct validation exercises against courses submitted we are actively looking to you, as Providers, to reduce course database errors through increased </w:t>
      </w:r>
      <w:proofErr w:type="spellStart"/>
      <w:r>
        <w:t>self validation</w:t>
      </w:r>
      <w:proofErr w:type="spellEnd"/>
      <w:r>
        <w:t>.</w:t>
      </w:r>
    </w:p>
    <w:p w14:paraId="4AB5F825" w14:textId="77777777" w:rsidR="00142DAE" w:rsidRDefault="00142DAE" w:rsidP="00142DAE">
      <w:pPr>
        <w:pStyle w:val="Body12pt"/>
      </w:pPr>
    </w:p>
    <w:p w14:paraId="3617D52E" w14:textId="13D929A5" w:rsidR="00142DAE" w:rsidRDefault="00142DAE" w:rsidP="00142DAE">
      <w:pPr>
        <w:pStyle w:val="HeaderGreen"/>
      </w:pPr>
      <w:r>
        <w:t>Roll over process</w:t>
      </w:r>
    </w:p>
    <w:p w14:paraId="40052DA6" w14:textId="77777777" w:rsidR="00142DAE" w:rsidRDefault="00142DAE" w:rsidP="00142DAE">
      <w:pPr>
        <w:pStyle w:val="HeaderGreen"/>
      </w:pPr>
    </w:p>
    <w:p w14:paraId="0C1918A1" w14:textId="65A1E981" w:rsidR="00142DAE" w:rsidRPr="00142DAE" w:rsidRDefault="00142DAE" w:rsidP="00142DAE">
      <w:pPr>
        <w:pStyle w:val="Body12pt"/>
        <w:rPr>
          <w:b/>
          <w:bCs/>
        </w:rPr>
      </w:pPr>
      <w:r w:rsidRPr="00142DAE">
        <w:rPr>
          <w:b/>
          <w:bCs/>
        </w:rPr>
        <w:t xml:space="preserve">All saved open courses from </w:t>
      </w:r>
      <w:r w:rsidR="00A31CD4">
        <w:rPr>
          <w:b/>
          <w:bCs/>
        </w:rPr>
        <w:t>academic year 20</w:t>
      </w:r>
      <w:r w:rsidRPr="00142DAE">
        <w:rPr>
          <w:b/>
          <w:bCs/>
        </w:rPr>
        <w:t xml:space="preserve">24/25 will be presented under new academic year </w:t>
      </w:r>
      <w:r w:rsidR="00A31CD4">
        <w:rPr>
          <w:b/>
          <w:bCs/>
        </w:rPr>
        <w:t>20</w:t>
      </w:r>
      <w:r w:rsidRPr="00142DAE">
        <w:rPr>
          <w:b/>
          <w:bCs/>
        </w:rPr>
        <w:t>25/26 tab.</w:t>
      </w:r>
    </w:p>
    <w:p w14:paraId="422FF047" w14:textId="77777777" w:rsidR="00142DAE" w:rsidRDefault="00142DAE" w:rsidP="00142DAE">
      <w:pPr>
        <w:pStyle w:val="Body12pt"/>
      </w:pPr>
    </w:p>
    <w:p w14:paraId="5EDA22AF" w14:textId="4421B1AE" w:rsidR="00142DAE" w:rsidRDefault="00142DAE" w:rsidP="00142DAE">
      <w:pPr>
        <w:pStyle w:val="Body12pt"/>
      </w:pPr>
      <w:r>
        <w:t>Course totals are dynamic and will reflect the number of unsaved courses still to be updated.</w:t>
      </w:r>
    </w:p>
    <w:p w14:paraId="2A2ED12B" w14:textId="77777777" w:rsidR="00142DAE" w:rsidRDefault="00142DAE" w:rsidP="00142DAE">
      <w:pPr>
        <w:pStyle w:val="Body12pt"/>
      </w:pPr>
    </w:p>
    <w:p w14:paraId="717177D3" w14:textId="5BAA2A8A" w:rsidR="00142DAE" w:rsidRDefault="00142DAE" w:rsidP="00142DAE">
      <w:pPr>
        <w:pStyle w:val="Body12pt"/>
      </w:pPr>
      <w:r>
        <w:t>Each course must be saved individually.</w:t>
      </w:r>
    </w:p>
    <w:p w14:paraId="67DCABE1" w14:textId="77777777" w:rsidR="00142DAE" w:rsidRDefault="00142DAE" w:rsidP="00142DAE">
      <w:pPr>
        <w:pStyle w:val="Body12pt"/>
      </w:pPr>
    </w:p>
    <w:p w14:paraId="39FC35FA" w14:textId="0574BF18" w:rsidR="00142DAE" w:rsidRDefault="00142DAE" w:rsidP="00142DAE">
      <w:pPr>
        <w:pStyle w:val="Body12pt"/>
      </w:pPr>
      <w:r>
        <w:t xml:space="preserve">Your Provider Profile is controlled by SLC – </w:t>
      </w:r>
      <w:r w:rsidR="005D7D37">
        <w:t>c</w:t>
      </w:r>
      <w:r>
        <w:t xml:space="preserve">heck your information and </w:t>
      </w:r>
      <w:r w:rsidR="005D7D37">
        <w:t>f</w:t>
      </w:r>
      <w:r>
        <w:t xml:space="preserve">ee </w:t>
      </w:r>
      <w:r w:rsidR="005D7D37">
        <w:t>c</w:t>
      </w:r>
      <w:r>
        <w:t xml:space="preserve">aps carefully. </w:t>
      </w:r>
    </w:p>
    <w:p w14:paraId="43812E44" w14:textId="77777777" w:rsidR="00142DAE" w:rsidRDefault="00142DAE" w:rsidP="00142DAE">
      <w:pPr>
        <w:pStyle w:val="Body12pt"/>
      </w:pPr>
    </w:p>
    <w:p w14:paraId="3ACFA26B" w14:textId="53B31CD4" w:rsidR="00142DAE" w:rsidRDefault="00142DAE" w:rsidP="00142DAE">
      <w:pPr>
        <w:pStyle w:val="Body12pt"/>
      </w:pPr>
      <w:r>
        <w:t xml:space="preserve">User </w:t>
      </w:r>
      <w:r w:rsidR="005D7D37">
        <w:t>p</w:t>
      </w:r>
      <w:r>
        <w:t xml:space="preserve">references will assist you when updating term dates. </w:t>
      </w:r>
    </w:p>
    <w:p w14:paraId="3D83095F" w14:textId="77777777" w:rsidR="00142DAE" w:rsidRDefault="00142DAE" w:rsidP="00142DAE">
      <w:pPr>
        <w:pStyle w:val="Body12pt"/>
      </w:pPr>
    </w:p>
    <w:p w14:paraId="13C40470" w14:textId="670B670A" w:rsidR="00142DAE" w:rsidRDefault="00142DAE" w:rsidP="00142DAE">
      <w:pPr>
        <w:pStyle w:val="Body12pt"/>
      </w:pPr>
      <w:r>
        <w:lastRenderedPageBreak/>
        <w:t xml:space="preserve">Multiple intakes will pre-populate if you have already saved a course with the same start month. </w:t>
      </w:r>
    </w:p>
    <w:p w14:paraId="3D3F3F7B" w14:textId="77777777" w:rsidR="00142DAE" w:rsidRDefault="00142DAE" w:rsidP="00142DAE">
      <w:pPr>
        <w:pStyle w:val="Body12pt"/>
      </w:pPr>
    </w:p>
    <w:p w14:paraId="3C10B414" w14:textId="297264BB" w:rsidR="00142DAE" w:rsidRDefault="00142DAE" w:rsidP="00142DAE">
      <w:pPr>
        <w:pStyle w:val="Body12pt"/>
      </w:pPr>
      <w:r>
        <w:t>Students will only see ‘saved’ or open courses when making an application.</w:t>
      </w:r>
    </w:p>
    <w:p w14:paraId="7C9774BC" w14:textId="77777777" w:rsidR="00633E98" w:rsidRDefault="00633E98" w:rsidP="00142DAE">
      <w:pPr>
        <w:pStyle w:val="Body12pt"/>
      </w:pPr>
    </w:p>
    <w:p w14:paraId="42F7A998" w14:textId="1FAD8F11" w:rsidR="00633E98" w:rsidRDefault="00633E98" w:rsidP="00633E98">
      <w:pPr>
        <w:pStyle w:val="HeaderGreen"/>
      </w:pPr>
      <w:r>
        <w:t>Course closures</w:t>
      </w:r>
    </w:p>
    <w:p w14:paraId="331D67BD" w14:textId="77777777" w:rsidR="00633E98" w:rsidRDefault="00633E98" w:rsidP="00633E98">
      <w:pPr>
        <w:pStyle w:val="HeaderGreen"/>
      </w:pPr>
    </w:p>
    <w:p w14:paraId="46E30DFB" w14:textId="64F3D1C2" w:rsidR="00633E98" w:rsidRDefault="00633E98" w:rsidP="00633E98">
      <w:pPr>
        <w:pStyle w:val="Body12pt"/>
        <w:rPr>
          <w:b/>
          <w:bCs/>
        </w:rPr>
      </w:pPr>
      <w:r w:rsidRPr="00633E98">
        <w:rPr>
          <w:b/>
          <w:bCs/>
        </w:rPr>
        <w:t>Courses with no approved applications:</w:t>
      </w:r>
    </w:p>
    <w:p w14:paraId="3CA65140" w14:textId="77777777" w:rsidR="00633E98" w:rsidRDefault="00633E98" w:rsidP="00633E98">
      <w:pPr>
        <w:pStyle w:val="Body12pt"/>
        <w:rPr>
          <w:b/>
          <w:bCs/>
        </w:rPr>
      </w:pPr>
    </w:p>
    <w:p w14:paraId="2B7AAFE1" w14:textId="1CBA0D5A" w:rsidR="00633E98" w:rsidRDefault="00633E98" w:rsidP="00633E98">
      <w:pPr>
        <w:pStyle w:val="Body12pt"/>
        <w:numPr>
          <w:ilvl w:val="0"/>
          <w:numId w:val="14"/>
        </w:numPr>
      </w:pPr>
      <w:r w:rsidRPr="00633E98">
        <w:t>A message is displayed confirming the course to be closed.</w:t>
      </w:r>
      <w:r>
        <w:br/>
      </w:r>
    </w:p>
    <w:p w14:paraId="1C887F3D" w14:textId="106E0080" w:rsidR="00633E98" w:rsidRDefault="00633E98" w:rsidP="00633E98">
      <w:pPr>
        <w:pStyle w:val="Body12pt"/>
        <w:numPr>
          <w:ilvl w:val="0"/>
          <w:numId w:val="14"/>
        </w:numPr>
      </w:pPr>
      <w:r w:rsidRPr="00633E98">
        <w:t>If the second confirmation returns saying that there are approved applications on the course, then the course is reopened automatically.</w:t>
      </w:r>
      <w:r>
        <w:br/>
      </w:r>
    </w:p>
    <w:p w14:paraId="2963661D" w14:textId="77777777" w:rsidR="00633E98" w:rsidRDefault="00633E98" w:rsidP="00633E98">
      <w:pPr>
        <w:pStyle w:val="Body12ptBold"/>
      </w:pPr>
      <w:r w:rsidRPr="00633E98">
        <w:t>Courses with approved applications:</w:t>
      </w:r>
    </w:p>
    <w:p w14:paraId="745F8B40" w14:textId="77777777" w:rsidR="00633E98" w:rsidRDefault="00633E98" w:rsidP="00633E98">
      <w:pPr>
        <w:pStyle w:val="Body12pt"/>
      </w:pPr>
    </w:p>
    <w:p w14:paraId="69F673A2" w14:textId="655120AD" w:rsidR="00633E98" w:rsidRDefault="00633E98" w:rsidP="00633E98">
      <w:pPr>
        <w:pStyle w:val="Body12pt"/>
      </w:pPr>
      <w:r w:rsidRPr="00633E98">
        <w:t xml:space="preserve"> • A validation message is displayed “This course cannot be closed as there are approved student applications on the course”.</w:t>
      </w:r>
    </w:p>
    <w:p w14:paraId="6F27BF18" w14:textId="77777777" w:rsidR="00633E98" w:rsidRDefault="00633E98" w:rsidP="00633E98">
      <w:pPr>
        <w:pStyle w:val="Body12pt"/>
      </w:pPr>
    </w:p>
    <w:p w14:paraId="026787DF" w14:textId="34FD33C8" w:rsidR="00633E98" w:rsidRDefault="00633E98" w:rsidP="00633E98">
      <w:pPr>
        <w:pStyle w:val="HeaderGreen"/>
      </w:pPr>
      <w:r w:rsidRPr="00633E98">
        <w:t>SLC Course Code/Location ID Changes</w:t>
      </w:r>
    </w:p>
    <w:p w14:paraId="7945A446" w14:textId="77777777" w:rsidR="00633E98" w:rsidRDefault="00633E98" w:rsidP="00633E98">
      <w:pPr>
        <w:pStyle w:val="HeaderGreen"/>
      </w:pPr>
    </w:p>
    <w:p w14:paraId="6FA86A0B" w14:textId="3A34B9A0" w:rsidR="00633E98" w:rsidRDefault="00633E98" w:rsidP="00633E98">
      <w:pPr>
        <w:pStyle w:val="Body12pt"/>
      </w:pPr>
      <w:r>
        <w:t>SLC course codes have increased from a 6-digit format to an 11-digit format, and our location IDs from 1 digit to 2 digits.</w:t>
      </w:r>
    </w:p>
    <w:p w14:paraId="14DEE8EA" w14:textId="77777777" w:rsidR="00633E98" w:rsidRDefault="00633E98" w:rsidP="00633E98">
      <w:pPr>
        <w:pStyle w:val="Body12pt"/>
      </w:pPr>
    </w:p>
    <w:p w14:paraId="2AF9129F" w14:textId="77777777" w:rsidR="00633E98" w:rsidRDefault="00633E98" w:rsidP="00633E98">
      <w:pPr>
        <w:pStyle w:val="Body12pt"/>
      </w:pPr>
      <w:r>
        <w:t>The changes will impact the following technical specifications:</w:t>
      </w:r>
    </w:p>
    <w:p w14:paraId="304C2385" w14:textId="77777777" w:rsidR="00633E98" w:rsidRDefault="00633E98" w:rsidP="00633E98">
      <w:pPr>
        <w:pStyle w:val="Body12pt"/>
      </w:pPr>
      <w:r>
        <w:t>CMS – HEP Courses Export</w:t>
      </w:r>
    </w:p>
    <w:p w14:paraId="73FB8346" w14:textId="34792016" w:rsidR="00633E98" w:rsidRDefault="00633E98" w:rsidP="00633E98">
      <w:pPr>
        <w:pStyle w:val="Body12pt"/>
        <w:numPr>
          <w:ilvl w:val="0"/>
          <w:numId w:val="16"/>
        </w:numPr>
      </w:pPr>
      <w:r>
        <w:t xml:space="preserve">SIS – Attendance and Student Information </w:t>
      </w:r>
      <w:r w:rsidR="005D7D37">
        <w:t>i</w:t>
      </w:r>
      <w:r>
        <w:t xml:space="preserve">mport </w:t>
      </w:r>
      <w:r w:rsidR="005D7D37">
        <w:t>and</w:t>
      </w:r>
      <w:r>
        <w:t xml:space="preserve"> </w:t>
      </w:r>
      <w:r w:rsidR="005D7D37">
        <w:t>e</w:t>
      </w:r>
      <w:r>
        <w:t xml:space="preserve">xport </w:t>
      </w:r>
      <w:r w:rsidR="005D7D37">
        <w:t>f</w:t>
      </w:r>
      <w:r>
        <w:t>iles</w:t>
      </w:r>
    </w:p>
    <w:p w14:paraId="12E80C18" w14:textId="138BF6B8" w:rsidR="00633E98" w:rsidRDefault="00633E98" w:rsidP="00633E98">
      <w:pPr>
        <w:pStyle w:val="Body12pt"/>
        <w:numPr>
          <w:ilvl w:val="0"/>
          <w:numId w:val="16"/>
        </w:numPr>
      </w:pPr>
      <w:r>
        <w:t xml:space="preserve">SIS – Change of Circumstances </w:t>
      </w:r>
      <w:r w:rsidR="005D7D37">
        <w:t>f</w:t>
      </w:r>
      <w:r>
        <w:t xml:space="preserve">ile </w:t>
      </w:r>
      <w:r w:rsidR="005D7D37">
        <w:t>u</w:t>
      </w:r>
      <w:r>
        <w:t>pload</w:t>
      </w:r>
    </w:p>
    <w:p w14:paraId="6B24AB57" w14:textId="282F7CC6" w:rsidR="00633E98" w:rsidRDefault="00633E98" w:rsidP="00633E98">
      <w:pPr>
        <w:pStyle w:val="Body12pt"/>
        <w:numPr>
          <w:ilvl w:val="0"/>
          <w:numId w:val="16"/>
        </w:numPr>
      </w:pPr>
      <w:r>
        <w:t xml:space="preserve">SIS – Change of Circumstances </w:t>
      </w:r>
      <w:r w:rsidR="005D7D37">
        <w:t>csv</w:t>
      </w:r>
      <w:r>
        <w:t xml:space="preserve"> </w:t>
      </w:r>
      <w:r w:rsidR="005D7D37">
        <w:t>b</w:t>
      </w:r>
      <w:r>
        <w:t xml:space="preserve">ulk </w:t>
      </w:r>
      <w:r w:rsidR="005D7D37">
        <w:t>u</w:t>
      </w:r>
      <w:r>
        <w:t>pload</w:t>
      </w:r>
      <w:r>
        <w:br/>
      </w:r>
    </w:p>
    <w:p w14:paraId="78CE1267" w14:textId="23E8B199" w:rsidR="00633E98" w:rsidRDefault="00633E98" w:rsidP="00633E98">
      <w:pPr>
        <w:pStyle w:val="Body12pt"/>
        <w:numPr>
          <w:ilvl w:val="0"/>
          <w:numId w:val="16"/>
        </w:numPr>
      </w:pPr>
      <w:r>
        <w:t>These changes will come into effect in mid-November for CMS</w:t>
      </w:r>
    </w:p>
    <w:p w14:paraId="519629F3" w14:textId="77777777" w:rsidR="00633E98" w:rsidRDefault="00633E98" w:rsidP="00633E98">
      <w:pPr>
        <w:pStyle w:val="Body12pt"/>
      </w:pPr>
    </w:p>
    <w:p w14:paraId="1506BD2C" w14:textId="3C8F2AC6" w:rsidR="00633E98" w:rsidRDefault="00633E98" w:rsidP="00633E98">
      <w:pPr>
        <w:pStyle w:val="Body12pt"/>
      </w:pPr>
      <w:r>
        <w:lastRenderedPageBreak/>
        <w:t xml:space="preserve">You can find the revised documentation on the HE Gateway Home page, under the </w:t>
      </w:r>
      <w:hyperlink r:id="rId10" w:history="1">
        <w:r w:rsidRPr="00633E98">
          <w:rPr>
            <w:rStyle w:val="Hyperlink"/>
          </w:rPr>
          <w:t>Technical Specifications for SIS/CMS section</w:t>
        </w:r>
      </w:hyperlink>
      <w:r>
        <w:t>.</w:t>
      </w:r>
    </w:p>
    <w:p w14:paraId="179A46DF" w14:textId="77777777" w:rsidR="00633E98" w:rsidRDefault="00633E98" w:rsidP="00633E98">
      <w:pPr>
        <w:pStyle w:val="Body12pt"/>
      </w:pPr>
    </w:p>
    <w:p w14:paraId="69CA0A87" w14:textId="59F71951" w:rsidR="00633E98" w:rsidRDefault="00633E98" w:rsidP="00633E98">
      <w:pPr>
        <w:pStyle w:val="Body12pt"/>
      </w:pPr>
      <w:r>
        <w:t xml:space="preserve">• If you have any Scottish students, there are some files that Student Awards Agency Scotland (SAAS)and HEPs exchange that include SLC course code, these will need to be updated also. Contact </w:t>
      </w:r>
      <w:hyperlink r:id="rId11" w:history="1">
        <w:r w:rsidRPr="00774C35">
          <w:rPr>
            <w:rStyle w:val="Hyperlink"/>
          </w:rPr>
          <w:t>SAASEvents@gov.scot</w:t>
        </w:r>
      </w:hyperlink>
      <w:r>
        <w:t xml:space="preserve"> if unsure.</w:t>
      </w:r>
    </w:p>
    <w:p w14:paraId="38E620AC" w14:textId="77777777" w:rsidR="00633E98" w:rsidRDefault="00633E98" w:rsidP="00633E98">
      <w:pPr>
        <w:pStyle w:val="Body12pt"/>
      </w:pPr>
    </w:p>
    <w:p w14:paraId="2864AC2F" w14:textId="77777777" w:rsidR="00AA4470" w:rsidRDefault="00AA4470" w:rsidP="00633E98">
      <w:pPr>
        <w:pStyle w:val="Header1"/>
      </w:pPr>
    </w:p>
    <w:p w14:paraId="41B654C9" w14:textId="77777777" w:rsidR="00AA4470" w:rsidRDefault="00AA4470" w:rsidP="00633E98">
      <w:pPr>
        <w:pStyle w:val="Header1"/>
      </w:pPr>
    </w:p>
    <w:p w14:paraId="3AEE13C9" w14:textId="77777777" w:rsidR="00AA4470" w:rsidRDefault="00AA4470" w:rsidP="00633E98">
      <w:pPr>
        <w:pStyle w:val="Header1"/>
      </w:pPr>
    </w:p>
    <w:p w14:paraId="0D96EEBD" w14:textId="77777777" w:rsidR="00AA4470" w:rsidRDefault="00AA4470" w:rsidP="00633E98">
      <w:pPr>
        <w:pStyle w:val="Header1"/>
      </w:pPr>
    </w:p>
    <w:p w14:paraId="3D13C55E" w14:textId="77777777" w:rsidR="00AA4470" w:rsidRDefault="00AA4470" w:rsidP="00633E98">
      <w:pPr>
        <w:pStyle w:val="Header1"/>
      </w:pPr>
    </w:p>
    <w:p w14:paraId="7AA8C45F" w14:textId="77777777" w:rsidR="00AA4470" w:rsidRDefault="00AA4470" w:rsidP="00633E98">
      <w:pPr>
        <w:pStyle w:val="Header1"/>
      </w:pPr>
    </w:p>
    <w:p w14:paraId="23DA1AD5" w14:textId="77777777" w:rsidR="00AA4470" w:rsidRDefault="00AA4470" w:rsidP="00633E98">
      <w:pPr>
        <w:pStyle w:val="Header1"/>
      </w:pPr>
    </w:p>
    <w:p w14:paraId="2B9ACF7B" w14:textId="77777777" w:rsidR="00AA4470" w:rsidRDefault="00AA4470" w:rsidP="00633E98">
      <w:pPr>
        <w:pStyle w:val="Header1"/>
      </w:pPr>
    </w:p>
    <w:p w14:paraId="530E9BF3" w14:textId="55A409A7" w:rsidR="00633E98" w:rsidRDefault="00633E98" w:rsidP="00633E98">
      <w:pPr>
        <w:pStyle w:val="Header1"/>
      </w:pPr>
      <w:r>
        <w:lastRenderedPageBreak/>
        <w:t xml:space="preserve">Term </w:t>
      </w:r>
      <w:r w:rsidR="005D7D37">
        <w:t>d</w:t>
      </w:r>
      <w:r>
        <w:t>ates</w:t>
      </w:r>
    </w:p>
    <w:p w14:paraId="4A0436A9" w14:textId="7779B274" w:rsidR="00633E98" w:rsidRDefault="00633E98" w:rsidP="00633E98">
      <w:pPr>
        <w:pStyle w:val="Body12pt"/>
      </w:pPr>
      <w:r w:rsidRPr="00633E98">
        <w:t xml:space="preserve">Term dates are extremely </w:t>
      </w:r>
      <w:proofErr w:type="gramStart"/>
      <w:r w:rsidRPr="00633E98">
        <w:t>important,</w:t>
      </w:r>
      <w:proofErr w:type="gramEnd"/>
      <w:r w:rsidRPr="00633E98">
        <w:t xml:space="preserve"> they dictate when students will get paid loans and grants but also have an impact on students' entitlement </w:t>
      </w:r>
      <w:proofErr w:type="gramStart"/>
      <w:r w:rsidRPr="00633E98">
        <w:t>in regard to</w:t>
      </w:r>
      <w:proofErr w:type="gramEnd"/>
      <w:r w:rsidRPr="00633E98">
        <w:t xml:space="preserve"> course length.</w:t>
      </w:r>
      <w:r>
        <w:t xml:space="preserve"> </w:t>
      </w:r>
      <w:r w:rsidRPr="00633E98">
        <w:t>It’s vital that the number of teaching weeks is accurate.</w:t>
      </w:r>
    </w:p>
    <w:p w14:paraId="04B3AF2C" w14:textId="77777777" w:rsidR="00633E98" w:rsidRDefault="00633E98" w:rsidP="00633E98">
      <w:pPr>
        <w:pStyle w:val="Body12pt"/>
      </w:pPr>
    </w:p>
    <w:p w14:paraId="7D62C186" w14:textId="2CB538E8" w:rsidR="00633E98" w:rsidRDefault="00633E98" w:rsidP="00633E98">
      <w:pPr>
        <w:pStyle w:val="Body12pt"/>
      </w:pPr>
      <w:r>
        <w:t>• Two semesters rather than three separate terms. SLC pay students at three points in academic year so dates for three terms are still required.</w:t>
      </w:r>
    </w:p>
    <w:p w14:paraId="3A6ACEAD" w14:textId="3F54DF58" w:rsidR="00633E98" w:rsidRDefault="00633E98" w:rsidP="00633E98">
      <w:pPr>
        <w:pStyle w:val="Body12pt"/>
      </w:pPr>
      <w:r>
        <w:t>• Term dates must reflect as closely as possible the study pattern of your students.</w:t>
      </w:r>
    </w:p>
    <w:p w14:paraId="252DEB1E" w14:textId="3608FC40" w:rsidR="00633E98" w:rsidRDefault="00633E98" w:rsidP="00633E98">
      <w:pPr>
        <w:pStyle w:val="Body12pt"/>
      </w:pPr>
      <w:r>
        <w:t>You should use holiday periods in the second semester as a natural break for your terms.</w:t>
      </w:r>
    </w:p>
    <w:p w14:paraId="6DED9808" w14:textId="11C1EF75" w:rsidR="00633E98" w:rsidRDefault="00633E98" w:rsidP="00633E98">
      <w:pPr>
        <w:pStyle w:val="Body12pt"/>
      </w:pPr>
      <w:r>
        <w:t xml:space="preserve">You must make sure that your term </w:t>
      </w:r>
      <w:proofErr w:type="gramStart"/>
      <w:r>
        <w:t>start</w:t>
      </w:r>
      <w:proofErr w:type="gramEnd"/>
      <w:r>
        <w:t xml:space="preserve"> dates reflect when your students are in study. </w:t>
      </w:r>
    </w:p>
    <w:p w14:paraId="36E3998D" w14:textId="580C0490" w:rsidR="00633E98" w:rsidRDefault="00633E98" w:rsidP="00633E98">
      <w:pPr>
        <w:pStyle w:val="Body12pt"/>
      </w:pPr>
      <w:r>
        <w:t>• Refer to CMS guidance on Policy Regulations when submitting Term Dates.</w:t>
      </w:r>
    </w:p>
    <w:p w14:paraId="12652026" w14:textId="77777777" w:rsidR="00633E98" w:rsidRDefault="00633E98" w:rsidP="00633E98">
      <w:pPr>
        <w:pStyle w:val="Body12pt"/>
      </w:pPr>
    </w:p>
    <w:p w14:paraId="27BE9654" w14:textId="55BB2CA2" w:rsidR="00633E98" w:rsidRDefault="00633E98" w:rsidP="00633E98">
      <w:pPr>
        <w:pStyle w:val="Body12pt"/>
      </w:pPr>
      <w:r w:rsidRPr="00633E98">
        <w:t>Your term dates should be linked to the season which your course begins and there are restrictions as to the earliest a term can begin.</w:t>
      </w:r>
    </w:p>
    <w:p w14:paraId="2A51EC79" w14:textId="77777777" w:rsidR="00633E98" w:rsidRDefault="00633E98" w:rsidP="00633E98">
      <w:pPr>
        <w:pStyle w:val="Body12pt"/>
      </w:pPr>
    </w:p>
    <w:tbl>
      <w:tblPr>
        <w:tblStyle w:val="SLCTable"/>
        <w:tblW w:w="0" w:type="auto"/>
        <w:tblLook w:val="04A0" w:firstRow="1" w:lastRow="0" w:firstColumn="1" w:lastColumn="0" w:noHBand="0" w:noVBand="1"/>
      </w:tblPr>
      <w:tblGrid>
        <w:gridCol w:w="3359"/>
        <w:gridCol w:w="3360"/>
        <w:gridCol w:w="3360"/>
        <w:gridCol w:w="3360"/>
      </w:tblGrid>
      <w:tr w:rsidR="00633E98" w14:paraId="43E80EF5" w14:textId="77777777" w:rsidTr="00633E98">
        <w:trPr>
          <w:cnfStyle w:val="100000000000" w:firstRow="1" w:lastRow="0" w:firstColumn="0" w:lastColumn="0" w:oddVBand="0" w:evenVBand="0" w:oddHBand="0" w:evenHBand="0" w:firstRowFirstColumn="0" w:firstRowLastColumn="0" w:lastRowFirstColumn="0" w:lastRowLastColumn="0"/>
        </w:trPr>
        <w:tc>
          <w:tcPr>
            <w:tcW w:w="3359" w:type="dxa"/>
          </w:tcPr>
          <w:p w14:paraId="1942E9C4" w14:textId="6C3B69D2" w:rsidR="00633E98" w:rsidRDefault="00633E98" w:rsidP="00633E98">
            <w:pPr>
              <w:pStyle w:val="Body12pt"/>
            </w:pPr>
            <w:r>
              <w:t>Season start</w:t>
            </w:r>
          </w:p>
        </w:tc>
        <w:tc>
          <w:tcPr>
            <w:tcW w:w="3360" w:type="dxa"/>
          </w:tcPr>
          <w:p w14:paraId="370EB68E" w14:textId="262DB457" w:rsidR="00633E98" w:rsidRDefault="00633E98" w:rsidP="00633E98">
            <w:pPr>
              <w:pStyle w:val="Body12pt"/>
            </w:pPr>
            <w:r>
              <w:t>Term 1 no earlier than</w:t>
            </w:r>
          </w:p>
        </w:tc>
        <w:tc>
          <w:tcPr>
            <w:tcW w:w="3360" w:type="dxa"/>
          </w:tcPr>
          <w:p w14:paraId="4A7E41D3" w14:textId="167E4E62" w:rsidR="00633E98" w:rsidRDefault="00633E98" w:rsidP="00633E98">
            <w:pPr>
              <w:pStyle w:val="Body12pt"/>
            </w:pPr>
            <w:r>
              <w:t>Term 2 no earlier than</w:t>
            </w:r>
          </w:p>
        </w:tc>
        <w:tc>
          <w:tcPr>
            <w:tcW w:w="3360" w:type="dxa"/>
          </w:tcPr>
          <w:p w14:paraId="68B00621" w14:textId="07A67D84" w:rsidR="00633E98" w:rsidRDefault="00633E98" w:rsidP="00633E98">
            <w:pPr>
              <w:pStyle w:val="Body12pt"/>
            </w:pPr>
            <w:r>
              <w:t>Term 3 no earlier than</w:t>
            </w:r>
          </w:p>
        </w:tc>
      </w:tr>
      <w:tr w:rsidR="00633E98" w14:paraId="795961A0" w14:textId="77777777" w:rsidTr="00633E98">
        <w:trPr>
          <w:cnfStyle w:val="000000100000" w:firstRow="0" w:lastRow="0" w:firstColumn="0" w:lastColumn="0" w:oddVBand="0" w:evenVBand="0" w:oddHBand="1" w:evenHBand="0" w:firstRowFirstColumn="0" w:firstRowLastColumn="0" w:lastRowFirstColumn="0" w:lastRowLastColumn="0"/>
        </w:trPr>
        <w:tc>
          <w:tcPr>
            <w:tcW w:w="3359" w:type="dxa"/>
          </w:tcPr>
          <w:p w14:paraId="3892A738" w14:textId="5A5DEF4C" w:rsidR="00633E98" w:rsidRDefault="0035798E" w:rsidP="00633E98">
            <w:pPr>
              <w:pStyle w:val="Body12pt"/>
            </w:pPr>
            <w:r>
              <w:t>Autumn (Aug</w:t>
            </w:r>
            <w:r w:rsidR="005D7D37">
              <w:t xml:space="preserve"> to </w:t>
            </w:r>
            <w:r>
              <w:t>Dec)</w:t>
            </w:r>
          </w:p>
        </w:tc>
        <w:tc>
          <w:tcPr>
            <w:tcW w:w="3360" w:type="dxa"/>
          </w:tcPr>
          <w:p w14:paraId="6D25DD7E" w14:textId="472E861A" w:rsidR="00633E98" w:rsidRDefault="0035798E" w:rsidP="00633E98">
            <w:pPr>
              <w:pStyle w:val="Body12pt"/>
            </w:pPr>
            <w:r>
              <w:t>1 August</w:t>
            </w:r>
          </w:p>
        </w:tc>
        <w:tc>
          <w:tcPr>
            <w:tcW w:w="3360" w:type="dxa"/>
          </w:tcPr>
          <w:p w14:paraId="60AF15EB" w14:textId="30A535E9" w:rsidR="00633E98" w:rsidRDefault="0035798E" w:rsidP="00633E98">
            <w:pPr>
              <w:pStyle w:val="Body12pt"/>
            </w:pPr>
            <w:r>
              <w:t>1 January</w:t>
            </w:r>
          </w:p>
        </w:tc>
        <w:tc>
          <w:tcPr>
            <w:tcW w:w="3360" w:type="dxa"/>
          </w:tcPr>
          <w:p w14:paraId="37E8CEFC" w14:textId="5B48A319" w:rsidR="00633E98" w:rsidRDefault="0035798E" w:rsidP="00633E98">
            <w:pPr>
              <w:pStyle w:val="Body12pt"/>
            </w:pPr>
            <w:r>
              <w:t>1 April</w:t>
            </w:r>
          </w:p>
        </w:tc>
      </w:tr>
      <w:tr w:rsidR="00633E98" w14:paraId="611944EC" w14:textId="77777777" w:rsidTr="00633E98">
        <w:trPr>
          <w:cnfStyle w:val="000000010000" w:firstRow="0" w:lastRow="0" w:firstColumn="0" w:lastColumn="0" w:oddVBand="0" w:evenVBand="0" w:oddHBand="0" w:evenHBand="1" w:firstRowFirstColumn="0" w:firstRowLastColumn="0" w:lastRowFirstColumn="0" w:lastRowLastColumn="0"/>
        </w:trPr>
        <w:tc>
          <w:tcPr>
            <w:tcW w:w="3359" w:type="dxa"/>
          </w:tcPr>
          <w:p w14:paraId="75032D49" w14:textId="2A8036ED" w:rsidR="00633E98" w:rsidRDefault="0035798E" w:rsidP="00633E98">
            <w:pPr>
              <w:pStyle w:val="Body12pt"/>
            </w:pPr>
            <w:r>
              <w:t>Winter (Jan</w:t>
            </w:r>
            <w:r w:rsidR="005D7D37">
              <w:t xml:space="preserve"> to </w:t>
            </w:r>
            <w:r>
              <w:t>Mar)</w:t>
            </w:r>
          </w:p>
        </w:tc>
        <w:tc>
          <w:tcPr>
            <w:tcW w:w="3360" w:type="dxa"/>
          </w:tcPr>
          <w:p w14:paraId="15ED3498" w14:textId="4FA8A42A" w:rsidR="00633E98" w:rsidRDefault="0035798E" w:rsidP="00633E98">
            <w:pPr>
              <w:pStyle w:val="Body12pt"/>
            </w:pPr>
            <w:r>
              <w:t>2 January</w:t>
            </w:r>
          </w:p>
        </w:tc>
        <w:tc>
          <w:tcPr>
            <w:tcW w:w="3360" w:type="dxa"/>
          </w:tcPr>
          <w:p w14:paraId="4807746C" w14:textId="5E5A1E7B" w:rsidR="00633E98" w:rsidRDefault="0035798E" w:rsidP="00633E98">
            <w:pPr>
              <w:pStyle w:val="Body12pt"/>
            </w:pPr>
            <w:r>
              <w:t>1 April</w:t>
            </w:r>
          </w:p>
        </w:tc>
        <w:tc>
          <w:tcPr>
            <w:tcW w:w="3360" w:type="dxa"/>
          </w:tcPr>
          <w:p w14:paraId="610A3ED4" w14:textId="6E954D4F" w:rsidR="00633E98" w:rsidRDefault="0035798E" w:rsidP="00633E98">
            <w:pPr>
              <w:pStyle w:val="Body12pt"/>
            </w:pPr>
            <w:r>
              <w:t>1 July</w:t>
            </w:r>
          </w:p>
        </w:tc>
      </w:tr>
      <w:tr w:rsidR="00633E98" w14:paraId="6B85C3B4" w14:textId="77777777" w:rsidTr="00633E98">
        <w:trPr>
          <w:cnfStyle w:val="000000100000" w:firstRow="0" w:lastRow="0" w:firstColumn="0" w:lastColumn="0" w:oddVBand="0" w:evenVBand="0" w:oddHBand="1" w:evenHBand="0" w:firstRowFirstColumn="0" w:firstRowLastColumn="0" w:lastRowFirstColumn="0" w:lastRowLastColumn="0"/>
        </w:trPr>
        <w:tc>
          <w:tcPr>
            <w:tcW w:w="3359" w:type="dxa"/>
          </w:tcPr>
          <w:p w14:paraId="2175FFE2" w14:textId="2BC3D5B8" w:rsidR="00633E98" w:rsidRDefault="0035798E" w:rsidP="00633E98">
            <w:pPr>
              <w:pStyle w:val="Body12pt"/>
            </w:pPr>
            <w:r>
              <w:t>Spring (Apr</w:t>
            </w:r>
            <w:r w:rsidR="005D7D37">
              <w:t xml:space="preserve"> to </w:t>
            </w:r>
            <w:r>
              <w:t>Jun)</w:t>
            </w:r>
          </w:p>
        </w:tc>
        <w:tc>
          <w:tcPr>
            <w:tcW w:w="3360" w:type="dxa"/>
          </w:tcPr>
          <w:p w14:paraId="46E63507" w14:textId="641B25A9" w:rsidR="00633E98" w:rsidRDefault="0035798E" w:rsidP="00633E98">
            <w:pPr>
              <w:pStyle w:val="Body12pt"/>
            </w:pPr>
            <w:r>
              <w:t>1 April</w:t>
            </w:r>
          </w:p>
        </w:tc>
        <w:tc>
          <w:tcPr>
            <w:tcW w:w="3360" w:type="dxa"/>
          </w:tcPr>
          <w:p w14:paraId="088D22AA" w14:textId="0632DC89" w:rsidR="00633E98" w:rsidRDefault="0035798E" w:rsidP="00633E98">
            <w:pPr>
              <w:pStyle w:val="Body12pt"/>
            </w:pPr>
            <w:r>
              <w:t>1 July</w:t>
            </w:r>
          </w:p>
        </w:tc>
        <w:tc>
          <w:tcPr>
            <w:tcW w:w="3360" w:type="dxa"/>
          </w:tcPr>
          <w:p w14:paraId="2977946C" w14:textId="0159FFB4" w:rsidR="00633E98" w:rsidRDefault="0035798E" w:rsidP="00633E98">
            <w:pPr>
              <w:pStyle w:val="Body12pt"/>
            </w:pPr>
            <w:r>
              <w:t>1 January</w:t>
            </w:r>
          </w:p>
        </w:tc>
      </w:tr>
      <w:tr w:rsidR="00633E98" w14:paraId="0A1C687F" w14:textId="77777777" w:rsidTr="00633E98">
        <w:trPr>
          <w:cnfStyle w:val="000000010000" w:firstRow="0" w:lastRow="0" w:firstColumn="0" w:lastColumn="0" w:oddVBand="0" w:evenVBand="0" w:oddHBand="0" w:evenHBand="1" w:firstRowFirstColumn="0" w:firstRowLastColumn="0" w:lastRowFirstColumn="0" w:lastRowLastColumn="0"/>
        </w:trPr>
        <w:tc>
          <w:tcPr>
            <w:tcW w:w="3359" w:type="dxa"/>
          </w:tcPr>
          <w:p w14:paraId="05B1D3BE" w14:textId="3AC9AA11" w:rsidR="00633E98" w:rsidRDefault="0035798E" w:rsidP="00633E98">
            <w:pPr>
              <w:pStyle w:val="Body12pt"/>
            </w:pPr>
            <w:r>
              <w:t>Summer (Jul</w:t>
            </w:r>
            <w:r w:rsidR="005D7D37">
              <w:t xml:space="preserve"> to </w:t>
            </w:r>
            <w:r>
              <w:t>Aug)</w:t>
            </w:r>
          </w:p>
        </w:tc>
        <w:tc>
          <w:tcPr>
            <w:tcW w:w="3360" w:type="dxa"/>
          </w:tcPr>
          <w:p w14:paraId="1214E389" w14:textId="4549B956" w:rsidR="00633E98" w:rsidRDefault="0035798E" w:rsidP="00633E98">
            <w:pPr>
              <w:pStyle w:val="Body12pt"/>
            </w:pPr>
            <w:r>
              <w:t>1 July</w:t>
            </w:r>
          </w:p>
        </w:tc>
        <w:tc>
          <w:tcPr>
            <w:tcW w:w="3360" w:type="dxa"/>
          </w:tcPr>
          <w:p w14:paraId="4669CB7F" w14:textId="5E534BC6" w:rsidR="00633E98" w:rsidRDefault="0035798E" w:rsidP="00633E98">
            <w:pPr>
              <w:pStyle w:val="Body12pt"/>
            </w:pPr>
            <w:r>
              <w:t>1 January</w:t>
            </w:r>
          </w:p>
        </w:tc>
        <w:tc>
          <w:tcPr>
            <w:tcW w:w="3360" w:type="dxa"/>
          </w:tcPr>
          <w:p w14:paraId="63B0A0F9" w14:textId="58F875D7" w:rsidR="00633E98" w:rsidRDefault="0035798E" w:rsidP="00633E98">
            <w:pPr>
              <w:pStyle w:val="Body12pt"/>
            </w:pPr>
            <w:r>
              <w:t>1 April</w:t>
            </w:r>
          </w:p>
        </w:tc>
      </w:tr>
    </w:tbl>
    <w:p w14:paraId="53F2D02F" w14:textId="77777777" w:rsidR="00633E98" w:rsidRDefault="00633E98" w:rsidP="00633E98">
      <w:pPr>
        <w:pStyle w:val="Body12pt"/>
      </w:pPr>
    </w:p>
    <w:p w14:paraId="4969FD67" w14:textId="77777777" w:rsidR="0035798E" w:rsidRDefault="0035798E" w:rsidP="00633E98">
      <w:pPr>
        <w:pStyle w:val="Body12pt"/>
      </w:pPr>
    </w:p>
    <w:p w14:paraId="6F7C38E8" w14:textId="77777777" w:rsidR="0035798E" w:rsidRDefault="0035798E" w:rsidP="00633E98">
      <w:pPr>
        <w:pStyle w:val="Body12pt"/>
      </w:pPr>
    </w:p>
    <w:p w14:paraId="172421CC" w14:textId="7856C871" w:rsidR="0035798E" w:rsidRDefault="0035798E" w:rsidP="0035798E">
      <w:pPr>
        <w:pStyle w:val="HeaderGreen"/>
      </w:pPr>
      <w:r>
        <w:t>Important points to note</w:t>
      </w:r>
    </w:p>
    <w:p w14:paraId="23C47191" w14:textId="77777777" w:rsidR="0035798E" w:rsidRDefault="0035798E" w:rsidP="0035798E">
      <w:pPr>
        <w:pStyle w:val="HeaderGreen"/>
      </w:pPr>
    </w:p>
    <w:p w14:paraId="00332617" w14:textId="724BCBAF" w:rsidR="0035798E" w:rsidRDefault="0035798E" w:rsidP="0035798E">
      <w:pPr>
        <w:pStyle w:val="Body12pt"/>
      </w:pPr>
      <w:r w:rsidRPr="0035798E">
        <w:rPr>
          <w:b/>
          <w:bCs/>
        </w:rPr>
        <w:t>Freshers’ Activities</w:t>
      </w:r>
      <w:r>
        <w:t xml:space="preserve"> should not be counted as weeks of teaching unless students are attending lectures.</w:t>
      </w:r>
    </w:p>
    <w:p w14:paraId="71A0C347" w14:textId="77777777" w:rsidR="0035798E" w:rsidRDefault="0035798E" w:rsidP="0035798E">
      <w:pPr>
        <w:pStyle w:val="Body12pt"/>
      </w:pPr>
    </w:p>
    <w:p w14:paraId="4CCEFE95" w14:textId="3A222010" w:rsidR="0035798E" w:rsidRDefault="0035798E" w:rsidP="0035798E">
      <w:pPr>
        <w:pStyle w:val="Body12pt"/>
      </w:pPr>
      <w:r w:rsidRPr="0035798E">
        <w:rPr>
          <w:b/>
          <w:bCs/>
        </w:rPr>
        <w:t>Holiday periods</w:t>
      </w:r>
      <w:r w:rsidRPr="0035798E">
        <w:t xml:space="preserve"> should always be accounted for, not included within term, but adjust term length</w:t>
      </w:r>
      <w:r>
        <w:t>.</w:t>
      </w:r>
    </w:p>
    <w:p w14:paraId="54592FB5" w14:textId="77777777" w:rsidR="0035798E" w:rsidRDefault="0035798E" w:rsidP="0035798E">
      <w:pPr>
        <w:pStyle w:val="Body12pt"/>
      </w:pPr>
    </w:p>
    <w:p w14:paraId="41973E59" w14:textId="77777777" w:rsidR="0035798E" w:rsidRDefault="0035798E" w:rsidP="0035798E">
      <w:pPr>
        <w:pStyle w:val="Body12pt"/>
      </w:pPr>
      <w:r w:rsidRPr="0035798E">
        <w:rPr>
          <w:b/>
          <w:bCs/>
        </w:rPr>
        <w:lastRenderedPageBreak/>
        <w:t>Exam Periods</w:t>
      </w:r>
      <w:r w:rsidRPr="0035798E">
        <w:t xml:space="preserve"> can be included in teaching weeks, but awaiting results cannot nor can external exam </w:t>
      </w:r>
      <w:proofErr w:type="gramStart"/>
      <w:r w:rsidRPr="0035798E">
        <w:t>resits</w:t>
      </w:r>
      <w:proofErr w:type="gramEnd"/>
      <w:r w:rsidRPr="0035798E">
        <w:t>.</w:t>
      </w:r>
    </w:p>
    <w:p w14:paraId="4156667E" w14:textId="77777777" w:rsidR="0035798E" w:rsidRDefault="0035798E" w:rsidP="0035798E">
      <w:pPr>
        <w:pStyle w:val="Body12pt"/>
      </w:pPr>
    </w:p>
    <w:p w14:paraId="25A045E6" w14:textId="77777777" w:rsidR="0035798E" w:rsidRDefault="0035798E" w:rsidP="0035798E">
      <w:pPr>
        <w:pStyle w:val="Body12pt"/>
      </w:pPr>
      <w:r w:rsidRPr="0035798E">
        <w:rPr>
          <w:b/>
          <w:bCs/>
        </w:rPr>
        <w:t>Bank Holidays and Weekends</w:t>
      </w:r>
      <w:r w:rsidRPr="0035798E">
        <w:t xml:space="preserve"> should be avoided unless course does start on these dates</w:t>
      </w:r>
      <w:r>
        <w:t>.</w:t>
      </w:r>
    </w:p>
    <w:p w14:paraId="57EEC752" w14:textId="77777777" w:rsidR="0035798E" w:rsidRDefault="0035798E" w:rsidP="0035798E">
      <w:pPr>
        <w:pStyle w:val="Body12pt"/>
      </w:pPr>
    </w:p>
    <w:p w14:paraId="5A3C6E2C" w14:textId="65B4C688" w:rsidR="0035798E" w:rsidRDefault="0035798E" w:rsidP="0035798E">
      <w:pPr>
        <w:pStyle w:val="Body12pt"/>
      </w:pPr>
      <w:r w:rsidRPr="0035798E">
        <w:rPr>
          <w:b/>
          <w:bCs/>
        </w:rPr>
        <w:t>Long Courses</w:t>
      </w:r>
      <w:r w:rsidRPr="0035798E">
        <w:t xml:space="preserve"> </w:t>
      </w:r>
      <w:r>
        <w:t>w</w:t>
      </w:r>
      <w:r w:rsidRPr="0035798E">
        <w:t>here course length exceeds 30 weeks and 3 days, this may result in additional student support</w:t>
      </w:r>
      <w:r>
        <w:t>.</w:t>
      </w:r>
    </w:p>
    <w:p w14:paraId="1F0E075C" w14:textId="77777777" w:rsidR="00700A9F" w:rsidRDefault="00700A9F" w:rsidP="0035798E">
      <w:pPr>
        <w:pStyle w:val="Body12pt"/>
      </w:pPr>
    </w:p>
    <w:p w14:paraId="11D2C943" w14:textId="77777777" w:rsidR="00AA4470" w:rsidRDefault="00AA4470" w:rsidP="00700A9F">
      <w:pPr>
        <w:pStyle w:val="Header1"/>
      </w:pPr>
    </w:p>
    <w:p w14:paraId="686CC60F" w14:textId="77777777" w:rsidR="00AA4470" w:rsidRDefault="00AA4470" w:rsidP="00700A9F">
      <w:pPr>
        <w:pStyle w:val="Header1"/>
      </w:pPr>
    </w:p>
    <w:p w14:paraId="35635696" w14:textId="77777777" w:rsidR="00AA4470" w:rsidRDefault="00AA4470" w:rsidP="00700A9F">
      <w:pPr>
        <w:pStyle w:val="Header1"/>
      </w:pPr>
    </w:p>
    <w:p w14:paraId="20765D78" w14:textId="77777777" w:rsidR="00AA4470" w:rsidRDefault="00AA4470" w:rsidP="00700A9F">
      <w:pPr>
        <w:pStyle w:val="Header1"/>
      </w:pPr>
    </w:p>
    <w:p w14:paraId="462E978E" w14:textId="77777777" w:rsidR="00AA4470" w:rsidRDefault="00AA4470" w:rsidP="00700A9F">
      <w:pPr>
        <w:pStyle w:val="Header1"/>
      </w:pPr>
    </w:p>
    <w:p w14:paraId="3130AAFE" w14:textId="77777777" w:rsidR="00AA4470" w:rsidRDefault="00AA4470" w:rsidP="00700A9F">
      <w:pPr>
        <w:pStyle w:val="Header1"/>
      </w:pPr>
    </w:p>
    <w:p w14:paraId="6EAA5EB4" w14:textId="77777777" w:rsidR="00AA4470" w:rsidRDefault="00AA4470" w:rsidP="00700A9F">
      <w:pPr>
        <w:pStyle w:val="Header1"/>
      </w:pPr>
    </w:p>
    <w:p w14:paraId="33646C01" w14:textId="77777777" w:rsidR="00AA4470" w:rsidRDefault="00AA4470" w:rsidP="00700A9F">
      <w:pPr>
        <w:pStyle w:val="Header1"/>
      </w:pPr>
    </w:p>
    <w:p w14:paraId="5A3C3F04" w14:textId="41F2652C" w:rsidR="00700A9F" w:rsidRDefault="00700A9F" w:rsidP="00700A9F">
      <w:pPr>
        <w:pStyle w:val="Header1"/>
      </w:pPr>
      <w:r w:rsidRPr="00700A9F">
        <w:lastRenderedPageBreak/>
        <w:t xml:space="preserve">Key </w:t>
      </w:r>
      <w:r w:rsidR="005D7D37">
        <w:t>i</w:t>
      </w:r>
      <w:r w:rsidRPr="00700A9F">
        <w:t xml:space="preserve">nformation </w:t>
      </w:r>
      <w:r w:rsidR="005D7D37">
        <w:t>and</w:t>
      </w:r>
      <w:r w:rsidRPr="00700A9F">
        <w:t xml:space="preserve"> </w:t>
      </w:r>
      <w:r w:rsidR="005D7D37">
        <w:t>b</w:t>
      </w:r>
      <w:r w:rsidRPr="00700A9F">
        <w:t xml:space="preserve">est </w:t>
      </w:r>
      <w:r w:rsidR="005D7D37">
        <w:t>p</w:t>
      </w:r>
      <w:r w:rsidRPr="00700A9F">
        <w:t>ractice</w:t>
      </w:r>
    </w:p>
    <w:p w14:paraId="5186D3C1" w14:textId="764E01B7" w:rsidR="00700A9F" w:rsidRDefault="00700A9F" w:rsidP="00700A9F">
      <w:pPr>
        <w:pStyle w:val="HeaderGreen"/>
      </w:pPr>
      <w:r>
        <w:t>Long courses</w:t>
      </w:r>
    </w:p>
    <w:p w14:paraId="2E87369A" w14:textId="77777777" w:rsidR="00700A9F" w:rsidRDefault="00700A9F" w:rsidP="00700A9F">
      <w:pPr>
        <w:pStyle w:val="HeaderGreen"/>
      </w:pPr>
    </w:p>
    <w:p w14:paraId="74383696" w14:textId="77777777" w:rsidR="00700A9F" w:rsidRDefault="00700A9F" w:rsidP="00700A9F">
      <w:pPr>
        <w:pStyle w:val="Body12pt"/>
      </w:pPr>
      <w:r w:rsidRPr="00700A9F">
        <w:t>The course length calculator within CMS will automatically calculate course length and display this on screen.</w:t>
      </w:r>
    </w:p>
    <w:p w14:paraId="45B41000" w14:textId="77777777" w:rsidR="00700A9F" w:rsidRDefault="00700A9F" w:rsidP="00700A9F">
      <w:pPr>
        <w:pStyle w:val="Body12pt"/>
      </w:pPr>
    </w:p>
    <w:p w14:paraId="713C91E3" w14:textId="2B931C5E" w:rsidR="00700A9F" w:rsidRDefault="00700A9F" w:rsidP="00700A9F">
      <w:pPr>
        <w:pStyle w:val="Body12pt"/>
      </w:pPr>
      <w:r w:rsidRPr="00700A9F">
        <w:t>You will see a validation message when submitting term dates over 30 weeks and 3 days.</w:t>
      </w:r>
    </w:p>
    <w:p w14:paraId="6FA92102" w14:textId="77777777" w:rsidR="00700A9F" w:rsidRDefault="00700A9F" w:rsidP="00700A9F">
      <w:pPr>
        <w:pStyle w:val="Body12pt"/>
      </w:pPr>
    </w:p>
    <w:p w14:paraId="113B5836" w14:textId="6807CB4D" w:rsidR="00700A9F" w:rsidRDefault="00700A9F" w:rsidP="00700A9F">
      <w:pPr>
        <w:pStyle w:val="HeaderGreen"/>
      </w:pPr>
      <w:r w:rsidRPr="00700A9F">
        <w:t xml:space="preserve">Weekend </w:t>
      </w:r>
      <w:proofErr w:type="gramStart"/>
      <w:r w:rsidR="005D7D37">
        <w:t>c</w:t>
      </w:r>
      <w:r w:rsidRPr="00700A9F">
        <w:t>ourse</w:t>
      </w:r>
      <w:proofErr w:type="gramEnd"/>
      <w:r w:rsidRPr="00700A9F">
        <w:t xml:space="preserve"> </w:t>
      </w:r>
      <w:r w:rsidR="007B3BA5">
        <w:t>s</w:t>
      </w:r>
      <w:r w:rsidRPr="00700A9F">
        <w:t>tart</w:t>
      </w:r>
      <w:r w:rsidR="007B3BA5">
        <w:t xml:space="preserve"> d</w:t>
      </w:r>
      <w:r w:rsidRPr="00700A9F">
        <w:t>ates</w:t>
      </w:r>
    </w:p>
    <w:p w14:paraId="555AF4F5" w14:textId="77777777" w:rsidR="00700A9F" w:rsidRDefault="00700A9F" w:rsidP="00700A9F">
      <w:pPr>
        <w:pStyle w:val="HeaderGreen"/>
      </w:pPr>
    </w:p>
    <w:p w14:paraId="2683C97F" w14:textId="77777777" w:rsidR="00700A9F" w:rsidRDefault="00700A9F" w:rsidP="00700A9F">
      <w:pPr>
        <w:pStyle w:val="Body12pt"/>
      </w:pPr>
      <w:r w:rsidRPr="00700A9F">
        <w:t>On all course types, when entering your term dates, if you enter a date which is on a weekend, the following message is displayed.</w:t>
      </w:r>
    </w:p>
    <w:p w14:paraId="2C92C9F7" w14:textId="77777777" w:rsidR="00700A9F" w:rsidRDefault="00700A9F" w:rsidP="00700A9F">
      <w:pPr>
        <w:pStyle w:val="Body12pt"/>
      </w:pPr>
    </w:p>
    <w:p w14:paraId="36375DC8" w14:textId="77777777" w:rsidR="00700A9F" w:rsidRDefault="00700A9F" w:rsidP="00700A9F">
      <w:pPr>
        <w:pStyle w:val="Body12pt"/>
      </w:pPr>
      <w:r w:rsidRPr="00700A9F">
        <w:t xml:space="preserve">By selecting the check box, you are confirming the course does start on a weekend and you can continue to add your course details. </w:t>
      </w:r>
    </w:p>
    <w:p w14:paraId="29F25DB0" w14:textId="77777777" w:rsidR="00700A9F" w:rsidRDefault="00700A9F" w:rsidP="00700A9F">
      <w:pPr>
        <w:pStyle w:val="Body12pt"/>
      </w:pPr>
    </w:p>
    <w:p w14:paraId="109197D2" w14:textId="0515A1F1" w:rsidR="00700A9F" w:rsidRDefault="00700A9F" w:rsidP="00700A9F">
      <w:pPr>
        <w:pStyle w:val="Body12pt"/>
      </w:pPr>
      <w:r w:rsidRPr="00700A9F">
        <w:t>This enhancement has been added to help avoid common term start date errors at the point of course submission.</w:t>
      </w:r>
    </w:p>
    <w:p w14:paraId="78C4ADB8" w14:textId="77777777" w:rsidR="0078532B" w:rsidRDefault="0078532B" w:rsidP="00700A9F">
      <w:pPr>
        <w:pStyle w:val="Body12pt"/>
      </w:pPr>
    </w:p>
    <w:p w14:paraId="18A31005" w14:textId="127131C3" w:rsidR="0078532B" w:rsidRDefault="0078532B" w:rsidP="0078532B">
      <w:pPr>
        <w:pStyle w:val="HeaderGreen"/>
      </w:pPr>
      <w:r w:rsidRPr="0078532B">
        <w:t xml:space="preserve">Attributes </w:t>
      </w:r>
      <w:r w:rsidR="007B3BA5">
        <w:t>and</w:t>
      </w:r>
      <w:r w:rsidRPr="0078532B">
        <w:t xml:space="preserve"> </w:t>
      </w:r>
      <w:r w:rsidR="007B3BA5">
        <w:t>f</w:t>
      </w:r>
      <w:r w:rsidRPr="0078532B">
        <w:t>lags</w:t>
      </w:r>
    </w:p>
    <w:p w14:paraId="7F0F29E7" w14:textId="77777777" w:rsidR="0078532B" w:rsidRDefault="0078532B" w:rsidP="0078532B">
      <w:pPr>
        <w:pStyle w:val="HeaderGreen"/>
      </w:pPr>
    </w:p>
    <w:p w14:paraId="1679FF65" w14:textId="66055D21" w:rsidR="0078532B" w:rsidRDefault="0078532B" w:rsidP="0078532B">
      <w:pPr>
        <w:pStyle w:val="Body12pt"/>
      </w:pPr>
      <w:r w:rsidRPr="0078532B">
        <w:t>The course attributes will display options which are available to indicate a course is ‘non-standard’.</w:t>
      </w:r>
    </w:p>
    <w:p w14:paraId="2CD5C959" w14:textId="77777777" w:rsidR="0078532B" w:rsidRDefault="0078532B" w:rsidP="0078532B">
      <w:pPr>
        <w:pStyle w:val="Body12pt"/>
      </w:pPr>
    </w:p>
    <w:p w14:paraId="559DBA2D" w14:textId="283E9C2F" w:rsidR="0078532B" w:rsidRDefault="0078532B" w:rsidP="0078532B">
      <w:pPr>
        <w:pStyle w:val="Body12pt"/>
      </w:pPr>
      <w:r w:rsidRPr="0078532B">
        <w:rPr>
          <w:b/>
          <w:bCs/>
        </w:rPr>
        <w:t>Placement</w:t>
      </w:r>
      <w:r w:rsidRPr="0078532B">
        <w:t xml:space="preserve"> attributes can be applied to more than 1 year of a course and can also impact on fees.</w:t>
      </w:r>
    </w:p>
    <w:p w14:paraId="1E2CCC7A" w14:textId="77777777" w:rsidR="0078532B" w:rsidRDefault="0078532B" w:rsidP="0078532B">
      <w:pPr>
        <w:pStyle w:val="Body12pt"/>
      </w:pPr>
    </w:p>
    <w:p w14:paraId="0EACDB3C" w14:textId="15058356" w:rsidR="0078532B" w:rsidRDefault="0078532B" w:rsidP="0078532B">
      <w:pPr>
        <w:pStyle w:val="Body12pt"/>
      </w:pPr>
      <w:r>
        <w:t xml:space="preserve">Distance Learning flag MUST be added where course is fully delivered by distance learning. </w:t>
      </w:r>
    </w:p>
    <w:p w14:paraId="0EF98692" w14:textId="77777777" w:rsidR="0078532B" w:rsidRDefault="0078532B" w:rsidP="0078532B">
      <w:pPr>
        <w:pStyle w:val="Body12pt"/>
      </w:pPr>
    </w:p>
    <w:p w14:paraId="34B39770" w14:textId="155C3EDE" w:rsidR="0078532B" w:rsidRDefault="0078532B" w:rsidP="007B3BA5">
      <w:pPr>
        <w:pStyle w:val="Body12pt"/>
        <w:numPr>
          <w:ilvl w:val="0"/>
          <w:numId w:val="16"/>
        </w:numPr>
      </w:pPr>
      <w:r>
        <w:t xml:space="preserve">NHS bursary funding for Nursing, Midwifery and Allied Health Professional courses. </w:t>
      </w:r>
    </w:p>
    <w:p w14:paraId="18A0DAD0" w14:textId="77777777" w:rsidR="0078532B" w:rsidRDefault="0078532B" w:rsidP="0078532B">
      <w:pPr>
        <w:pStyle w:val="Body12pt"/>
      </w:pPr>
    </w:p>
    <w:p w14:paraId="77938212" w14:textId="0EE4986D" w:rsidR="0078532B" w:rsidRDefault="0078532B" w:rsidP="007B3BA5">
      <w:pPr>
        <w:pStyle w:val="Body12pt"/>
        <w:numPr>
          <w:ilvl w:val="0"/>
          <w:numId w:val="16"/>
        </w:numPr>
      </w:pPr>
      <w:r>
        <w:lastRenderedPageBreak/>
        <w:t xml:space="preserve">Dental Hygiene/ Therapy courses are assessed differently from some standard NHS courses. </w:t>
      </w:r>
    </w:p>
    <w:p w14:paraId="3D3DFCCF" w14:textId="77777777" w:rsidR="0078532B" w:rsidRDefault="0078532B" w:rsidP="0078532B">
      <w:pPr>
        <w:pStyle w:val="Body12pt"/>
      </w:pPr>
    </w:p>
    <w:p w14:paraId="0B1FB1D7" w14:textId="72B855E7" w:rsidR="0078532B" w:rsidRDefault="0078532B" w:rsidP="007B3BA5">
      <w:pPr>
        <w:pStyle w:val="Body12pt"/>
        <w:numPr>
          <w:ilvl w:val="0"/>
          <w:numId w:val="16"/>
        </w:numPr>
      </w:pPr>
      <w:r>
        <w:t xml:space="preserve">Paramedic courses may attract NHS support, so applications need to be manually checked. </w:t>
      </w:r>
    </w:p>
    <w:p w14:paraId="08248C53" w14:textId="77777777" w:rsidR="0078532B" w:rsidRDefault="0078532B" w:rsidP="0078532B">
      <w:pPr>
        <w:pStyle w:val="Body12pt"/>
      </w:pPr>
    </w:p>
    <w:p w14:paraId="58AE5DBA" w14:textId="24C463A0" w:rsidR="0078532B" w:rsidRDefault="0078532B" w:rsidP="007B3BA5">
      <w:pPr>
        <w:pStyle w:val="Body12pt"/>
        <w:numPr>
          <w:ilvl w:val="0"/>
          <w:numId w:val="16"/>
        </w:numPr>
      </w:pPr>
      <w:r>
        <w:t>Medicine/ Dentistry student support varies for undergraduates and graduates.</w:t>
      </w:r>
    </w:p>
    <w:p w14:paraId="75B8DF4A" w14:textId="77777777" w:rsidR="0078532B" w:rsidRDefault="0078532B" w:rsidP="0078532B">
      <w:pPr>
        <w:pStyle w:val="Body12pt"/>
      </w:pPr>
    </w:p>
    <w:p w14:paraId="344E8FBF" w14:textId="1D2EA966" w:rsidR="0078532B" w:rsidRDefault="0078532B" w:rsidP="007B3BA5">
      <w:pPr>
        <w:pStyle w:val="Body12pt"/>
        <w:numPr>
          <w:ilvl w:val="0"/>
          <w:numId w:val="16"/>
        </w:numPr>
      </w:pPr>
      <w:r>
        <w:t>DO NOT select the NHS Bursary flag as well.</w:t>
      </w:r>
    </w:p>
    <w:p w14:paraId="4F838C81" w14:textId="77777777" w:rsidR="0078532B" w:rsidRDefault="0078532B" w:rsidP="0078532B">
      <w:pPr>
        <w:pStyle w:val="Body12pt"/>
      </w:pPr>
    </w:p>
    <w:p w14:paraId="44ED70CC" w14:textId="22257158" w:rsidR="0078532B" w:rsidRDefault="0078532B" w:rsidP="007B3BA5">
      <w:pPr>
        <w:pStyle w:val="Body12pt"/>
        <w:numPr>
          <w:ilvl w:val="0"/>
          <w:numId w:val="16"/>
        </w:numPr>
      </w:pPr>
      <w:r>
        <w:t>Intercalation only available for undergraduate courses.</w:t>
      </w:r>
    </w:p>
    <w:p w14:paraId="3CFE10D0" w14:textId="77777777" w:rsidR="0078532B" w:rsidRDefault="0078532B" w:rsidP="0078532B">
      <w:pPr>
        <w:pStyle w:val="Body12pt"/>
      </w:pPr>
    </w:p>
    <w:p w14:paraId="653293BE" w14:textId="79D7D95F" w:rsidR="0078532B" w:rsidRDefault="0078532B" w:rsidP="007B3BA5">
      <w:pPr>
        <w:pStyle w:val="Body12pt"/>
        <w:numPr>
          <w:ilvl w:val="1"/>
          <w:numId w:val="17"/>
        </w:numPr>
      </w:pPr>
      <w:r>
        <w:t>Can’t be higher than first degree level and leads to more than one qualification, either as an optional or an integral part of the course.</w:t>
      </w:r>
    </w:p>
    <w:p w14:paraId="68451206" w14:textId="77777777" w:rsidR="0078532B" w:rsidRDefault="0078532B" w:rsidP="0078532B">
      <w:pPr>
        <w:pStyle w:val="Body12pt"/>
      </w:pPr>
    </w:p>
    <w:p w14:paraId="07DB2EC0" w14:textId="4658F93C" w:rsidR="0078532B" w:rsidRDefault="0078532B" w:rsidP="007B3BA5">
      <w:pPr>
        <w:pStyle w:val="Body12pt"/>
        <w:numPr>
          <w:ilvl w:val="1"/>
          <w:numId w:val="17"/>
        </w:numPr>
      </w:pPr>
      <w:r>
        <w:t>HTQ is available for both full-time and part-time courses that have IFATE approval. It's critical that you set up appropriate courses with the HTQ attribute.</w:t>
      </w:r>
    </w:p>
    <w:p w14:paraId="3465D92A" w14:textId="77777777" w:rsidR="0078532B" w:rsidRDefault="0078532B" w:rsidP="0078532B">
      <w:pPr>
        <w:pStyle w:val="ListParagraph"/>
      </w:pPr>
    </w:p>
    <w:p w14:paraId="04EA87BC" w14:textId="77777777" w:rsidR="0078532B" w:rsidRDefault="0078532B" w:rsidP="0078532B">
      <w:pPr>
        <w:pStyle w:val="Body12pt"/>
      </w:pPr>
    </w:p>
    <w:p w14:paraId="0544DC08" w14:textId="77B992DE" w:rsidR="0078532B" w:rsidRDefault="0078532B" w:rsidP="0078532B">
      <w:pPr>
        <w:pStyle w:val="HeaderGreen"/>
      </w:pPr>
      <w:r w:rsidRPr="0078532B">
        <w:t xml:space="preserve">Available </w:t>
      </w:r>
      <w:r w:rsidR="007B3BA5">
        <w:t>c</w:t>
      </w:r>
      <w:r w:rsidRPr="0078532B">
        <w:t xml:space="preserve">ourse </w:t>
      </w:r>
      <w:r w:rsidR="007B3BA5">
        <w:t>y</w:t>
      </w:r>
      <w:r w:rsidRPr="0078532B">
        <w:t>ears</w:t>
      </w:r>
    </w:p>
    <w:p w14:paraId="4CAA3966" w14:textId="77777777" w:rsidR="0078532B" w:rsidRDefault="0078532B" w:rsidP="0078532B">
      <w:pPr>
        <w:pStyle w:val="Body12pt"/>
      </w:pPr>
    </w:p>
    <w:p w14:paraId="00402E00" w14:textId="54B94348" w:rsidR="0078532B" w:rsidRDefault="0078532B" w:rsidP="007B3BA5">
      <w:pPr>
        <w:pStyle w:val="Body12pt"/>
        <w:numPr>
          <w:ilvl w:val="0"/>
          <w:numId w:val="16"/>
        </w:numPr>
      </w:pPr>
      <w:r>
        <w:t xml:space="preserve">Using the Available Course Years function, Providers </w:t>
      </w:r>
      <w:proofErr w:type="gramStart"/>
      <w:r>
        <w:t>have the ability to</w:t>
      </w:r>
      <w:proofErr w:type="gramEnd"/>
      <w:r>
        <w:t xml:space="preserve"> ‘Phase Out’ a course. </w:t>
      </w:r>
    </w:p>
    <w:p w14:paraId="604FE857" w14:textId="77777777" w:rsidR="0078532B" w:rsidRDefault="0078532B" w:rsidP="0078532B">
      <w:pPr>
        <w:pStyle w:val="Body12pt"/>
      </w:pPr>
    </w:p>
    <w:p w14:paraId="71DF8E54" w14:textId="62570CFA" w:rsidR="0078532B" w:rsidRDefault="0078532B" w:rsidP="007B3BA5">
      <w:pPr>
        <w:pStyle w:val="Body12pt"/>
        <w:numPr>
          <w:ilvl w:val="0"/>
          <w:numId w:val="16"/>
        </w:numPr>
      </w:pPr>
      <w:r>
        <w:t>This can be done by restricting students from applying to year 1 of the course by setting year 1 to either ‘No Students’ or ‘Returners’.</w:t>
      </w:r>
    </w:p>
    <w:p w14:paraId="014828F2" w14:textId="77777777" w:rsidR="0078532B" w:rsidRDefault="0078532B" w:rsidP="0078532B">
      <w:pPr>
        <w:pStyle w:val="Body12pt"/>
      </w:pPr>
    </w:p>
    <w:p w14:paraId="5B52FC71" w14:textId="4099BB45" w:rsidR="0078532B" w:rsidRDefault="0078532B" w:rsidP="007B3BA5">
      <w:pPr>
        <w:pStyle w:val="Body12pt"/>
        <w:numPr>
          <w:ilvl w:val="0"/>
          <w:numId w:val="16"/>
        </w:numPr>
      </w:pPr>
      <w:r>
        <w:t>Similarly, Providers may wish to ‘phase in’ a course by only making years 1 or 2 of a course available and restricting the year 3 to ‘No Students’.</w:t>
      </w:r>
    </w:p>
    <w:p w14:paraId="07B01DAF" w14:textId="77777777" w:rsidR="0078532B" w:rsidRDefault="0078532B" w:rsidP="0078532B">
      <w:pPr>
        <w:pStyle w:val="Body12pt"/>
      </w:pPr>
    </w:p>
    <w:p w14:paraId="21AF5BAC" w14:textId="64B227D9" w:rsidR="0078532B" w:rsidRDefault="0078532B" w:rsidP="007B3BA5">
      <w:pPr>
        <w:pStyle w:val="Body12pt"/>
        <w:numPr>
          <w:ilvl w:val="0"/>
          <w:numId w:val="16"/>
        </w:numPr>
      </w:pPr>
      <w:r>
        <w:t xml:space="preserve">Providers </w:t>
      </w:r>
      <w:proofErr w:type="gramStart"/>
      <w:r>
        <w:t>are able to</w:t>
      </w:r>
      <w:proofErr w:type="gramEnd"/>
      <w:r>
        <w:t xml:space="preserve"> select academic years on courses that are specific to either all students, returners only or new students. Courses will default to all students.</w:t>
      </w:r>
    </w:p>
    <w:p w14:paraId="3C4F610E" w14:textId="77777777" w:rsidR="0078532B" w:rsidRDefault="0078532B" w:rsidP="0078532B">
      <w:pPr>
        <w:pStyle w:val="Body12pt"/>
      </w:pPr>
    </w:p>
    <w:p w14:paraId="3B26D26C" w14:textId="21AF8B3F" w:rsidR="0078532B" w:rsidRDefault="0078532B" w:rsidP="007B3BA5">
      <w:pPr>
        <w:pStyle w:val="Body12pt"/>
        <w:numPr>
          <w:ilvl w:val="0"/>
          <w:numId w:val="16"/>
        </w:numPr>
      </w:pPr>
      <w:r>
        <w:lastRenderedPageBreak/>
        <w:t>We encourage Providers to use this functionality rather than using the close course function.</w:t>
      </w:r>
    </w:p>
    <w:p w14:paraId="101A56A3" w14:textId="77777777" w:rsidR="0078532B" w:rsidRDefault="0078532B" w:rsidP="0078532B">
      <w:pPr>
        <w:pStyle w:val="Body12pt"/>
      </w:pPr>
    </w:p>
    <w:p w14:paraId="3A6CFF86" w14:textId="5682F662" w:rsidR="0078532B" w:rsidRDefault="0078532B" w:rsidP="0078532B">
      <w:pPr>
        <w:pStyle w:val="HeaderGreen"/>
      </w:pPr>
      <w:r w:rsidRPr="0078532B">
        <w:t>Locations</w:t>
      </w:r>
    </w:p>
    <w:p w14:paraId="3ED14F12" w14:textId="77777777" w:rsidR="0078532B" w:rsidRDefault="0078532B" w:rsidP="0078532B">
      <w:pPr>
        <w:pStyle w:val="HeaderGreen"/>
      </w:pPr>
    </w:p>
    <w:p w14:paraId="76A01746" w14:textId="79E4740A" w:rsidR="0078532B" w:rsidRDefault="0078532B" w:rsidP="0078532B">
      <w:pPr>
        <w:pStyle w:val="Body12pt"/>
      </w:pPr>
      <w:r>
        <w:t>Courses can be offered at various campus or franchise locations.</w:t>
      </w:r>
    </w:p>
    <w:p w14:paraId="6B9DFF65" w14:textId="77777777" w:rsidR="0078532B" w:rsidRDefault="0078532B" w:rsidP="0078532B">
      <w:pPr>
        <w:pStyle w:val="Body12pt"/>
      </w:pPr>
    </w:p>
    <w:p w14:paraId="620683AD" w14:textId="44011DE3" w:rsidR="0078532B" w:rsidRDefault="0078532B" w:rsidP="0078532B">
      <w:pPr>
        <w:pStyle w:val="Body12pt"/>
      </w:pPr>
      <w:r>
        <w:t>This can have an impact on a student's entitlement if you have a campus based in London or vice versa for London based institutions.</w:t>
      </w:r>
    </w:p>
    <w:p w14:paraId="3F6F26D6" w14:textId="77777777" w:rsidR="0078532B" w:rsidRDefault="0078532B" w:rsidP="0078532B">
      <w:pPr>
        <w:pStyle w:val="Body12pt"/>
      </w:pPr>
    </w:p>
    <w:p w14:paraId="4F21F14A" w14:textId="729B1EFF" w:rsidR="0078532B" w:rsidRDefault="0078532B" w:rsidP="0078532B">
      <w:pPr>
        <w:pStyle w:val="Body12pt"/>
      </w:pPr>
      <w:r>
        <w:t>If you need to add a new location, you can easily do this from the Locations page. Just click ‘Add Location’ and you will be asked to describe whether the new location is a campus, franchise or teacher training centre.</w:t>
      </w:r>
    </w:p>
    <w:p w14:paraId="695CC893" w14:textId="77777777" w:rsidR="0078532B" w:rsidRDefault="0078532B" w:rsidP="0078532B">
      <w:pPr>
        <w:pStyle w:val="Body12pt"/>
      </w:pPr>
    </w:p>
    <w:p w14:paraId="0360CD9A" w14:textId="72E26720" w:rsidR="0078532B" w:rsidRDefault="0078532B" w:rsidP="0078532B">
      <w:pPr>
        <w:pStyle w:val="Body12pt"/>
      </w:pPr>
      <w:r>
        <w:t>Please note, if when searching for a franchise location you cannot find it, you must contact partner support desk.</w:t>
      </w:r>
    </w:p>
    <w:p w14:paraId="50C18423" w14:textId="77777777" w:rsidR="0078532B" w:rsidRDefault="0078532B" w:rsidP="0078532B">
      <w:pPr>
        <w:pStyle w:val="Body12pt"/>
      </w:pPr>
    </w:p>
    <w:p w14:paraId="09FF54BB" w14:textId="612566B7" w:rsidR="0078532B" w:rsidRDefault="0078532B" w:rsidP="0078532B">
      <w:pPr>
        <w:pStyle w:val="Body12pt"/>
      </w:pPr>
      <w:r>
        <w:t>You can also add a bespoke campus name and select an alphanumeric campus code.</w:t>
      </w:r>
    </w:p>
    <w:p w14:paraId="7E629086" w14:textId="77777777" w:rsidR="0078532B" w:rsidRDefault="0078532B" w:rsidP="0078532B">
      <w:pPr>
        <w:pStyle w:val="Body12pt"/>
      </w:pPr>
    </w:p>
    <w:p w14:paraId="50EC0C42" w14:textId="77777777" w:rsidR="0078532B" w:rsidRDefault="0078532B" w:rsidP="0078532B">
      <w:pPr>
        <w:pStyle w:val="Body12pt"/>
      </w:pPr>
    </w:p>
    <w:p w14:paraId="12EAECE8" w14:textId="470AE488" w:rsidR="0078532B" w:rsidRDefault="0078532B" w:rsidP="0078532B">
      <w:pPr>
        <w:pStyle w:val="HeaderGreen"/>
      </w:pPr>
      <w:r w:rsidRPr="0078532B">
        <w:t xml:space="preserve">Franchise </w:t>
      </w:r>
      <w:r w:rsidR="007B3BA5">
        <w:t>p</w:t>
      </w:r>
      <w:r w:rsidRPr="0078532B">
        <w:t>artnerships</w:t>
      </w:r>
    </w:p>
    <w:p w14:paraId="5BA24657" w14:textId="77777777" w:rsidR="0078532B" w:rsidRDefault="0078532B" w:rsidP="0078532B">
      <w:pPr>
        <w:pStyle w:val="Body12pt"/>
      </w:pPr>
    </w:p>
    <w:p w14:paraId="0D974126" w14:textId="6BD23A5C" w:rsidR="0078532B" w:rsidRDefault="0078532B" w:rsidP="0078532B">
      <w:pPr>
        <w:pStyle w:val="Body12pt"/>
        <w:numPr>
          <w:ilvl w:val="0"/>
          <w:numId w:val="19"/>
        </w:numPr>
      </w:pPr>
      <w:r w:rsidRPr="0078532B">
        <w:t xml:space="preserve">When a lead provider, enters into a franchise agreement with another provider, </w:t>
      </w:r>
      <w:proofErr w:type="gramStart"/>
      <w:r w:rsidRPr="0078532B">
        <w:t>or,</w:t>
      </w:r>
      <w:proofErr w:type="gramEnd"/>
      <w:r w:rsidRPr="0078532B">
        <w:t xml:space="preserve"> the lead provider holds responsibility for all</w:t>
      </w:r>
      <w:r>
        <w:t xml:space="preserve"> </w:t>
      </w:r>
      <w:r w:rsidRPr="0078532B">
        <w:t xml:space="preserve">aspects of Student Finance. </w:t>
      </w:r>
    </w:p>
    <w:p w14:paraId="037A5F33" w14:textId="77777777" w:rsidR="0078532B" w:rsidRDefault="0078532B" w:rsidP="0078532B">
      <w:pPr>
        <w:pStyle w:val="Body12pt"/>
      </w:pPr>
    </w:p>
    <w:p w14:paraId="359BD39F" w14:textId="77777777" w:rsidR="0078532B" w:rsidRDefault="0078532B" w:rsidP="0078532B">
      <w:pPr>
        <w:pStyle w:val="Body12pt"/>
        <w:numPr>
          <w:ilvl w:val="0"/>
          <w:numId w:val="19"/>
        </w:numPr>
      </w:pPr>
      <w:r w:rsidRPr="0078532B">
        <w:t>Courses must be set up accurately so that students can apply for the correct course.</w:t>
      </w:r>
    </w:p>
    <w:p w14:paraId="78B48492" w14:textId="77777777" w:rsidR="0078532B" w:rsidRDefault="0078532B" w:rsidP="0078532B">
      <w:pPr>
        <w:pStyle w:val="Body12pt"/>
      </w:pPr>
    </w:p>
    <w:p w14:paraId="781625D0" w14:textId="77777777" w:rsidR="0078532B" w:rsidRDefault="0078532B" w:rsidP="0078532B">
      <w:pPr>
        <w:pStyle w:val="Body12pt"/>
        <w:numPr>
          <w:ilvl w:val="0"/>
          <w:numId w:val="19"/>
        </w:numPr>
      </w:pPr>
      <w:r w:rsidRPr="0078532B">
        <w:t>For new partnerships, a meeting with you and the franchisee to outline the service standards requirements for timeliness and for accuracy or right first time (RFT).</w:t>
      </w:r>
    </w:p>
    <w:p w14:paraId="4485B162" w14:textId="77777777" w:rsidR="0078532B" w:rsidRDefault="0078532B" w:rsidP="0078532B">
      <w:pPr>
        <w:pStyle w:val="Body12pt"/>
      </w:pPr>
    </w:p>
    <w:p w14:paraId="4864D085" w14:textId="04B590EE" w:rsidR="0078532B" w:rsidRDefault="0078532B" w:rsidP="0078532B">
      <w:pPr>
        <w:pStyle w:val="Body12pt"/>
        <w:numPr>
          <w:ilvl w:val="0"/>
          <w:numId w:val="19"/>
        </w:numPr>
      </w:pPr>
      <w:r w:rsidRPr="0078532B">
        <w:t>Where appropriate and on an ongoing basis we’ll share a franchise level breakdown of performance to help you identify where you can make improvements.</w:t>
      </w:r>
    </w:p>
    <w:p w14:paraId="3AE71C6F" w14:textId="77777777" w:rsidR="0078532B" w:rsidRDefault="0078532B" w:rsidP="0078532B">
      <w:pPr>
        <w:pStyle w:val="ListParagraph"/>
      </w:pPr>
    </w:p>
    <w:p w14:paraId="55F88A86" w14:textId="66E4BC52" w:rsidR="0078532B" w:rsidRDefault="0078532B" w:rsidP="0078532B">
      <w:pPr>
        <w:pStyle w:val="HeaderGreen"/>
      </w:pPr>
      <w:r w:rsidRPr="0078532B">
        <w:lastRenderedPageBreak/>
        <w:t>Franchis</w:t>
      </w:r>
      <w:r w:rsidR="00DD5BE9">
        <w:t>ed</w:t>
      </w:r>
      <w:r w:rsidRPr="0078532B">
        <w:t xml:space="preserve"> </w:t>
      </w:r>
      <w:r w:rsidR="007B3BA5">
        <w:t>l</w:t>
      </w:r>
      <w:r w:rsidRPr="0078532B">
        <w:t>ocations</w:t>
      </w:r>
    </w:p>
    <w:p w14:paraId="1478DFA4" w14:textId="77777777" w:rsidR="0078532B" w:rsidRDefault="0078532B" w:rsidP="0078532B">
      <w:pPr>
        <w:pStyle w:val="HeaderGreen"/>
      </w:pPr>
    </w:p>
    <w:p w14:paraId="4B1F57A8" w14:textId="6FB0AB31" w:rsidR="00134FB6" w:rsidRDefault="00134FB6" w:rsidP="00134FB6">
      <w:pPr>
        <w:pStyle w:val="Body12pt"/>
      </w:pPr>
      <w:r>
        <w:t>• Franchis</w:t>
      </w:r>
      <w:r w:rsidR="00DD5BE9">
        <w:t>ed</w:t>
      </w:r>
      <w:r>
        <w:t xml:space="preserve"> locations is an enhancement made to CMS which gives HEPs the opportunity to manage </w:t>
      </w:r>
      <w:proofErr w:type="gramStart"/>
      <w:r>
        <w:t>their</w:t>
      </w:r>
      <w:proofErr w:type="gramEnd"/>
      <w:r>
        <w:t xml:space="preserve"> </w:t>
      </w:r>
    </w:p>
    <w:p w14:paraId="0C7294E9" w14:textId="7151CEE3" w:rsidR="00134FB6" w:rsidRDefault="00134FB6" w:rsidP="00134FB6">
      <w:pPr>
        <w:pStyle w:val="Body12pt"/>
      </w:pPr>
      <w:r>
        <w:t>locations with franchisees</w:t>
      </w:r>
    </w:p>
    <w:p w14:paraId="043AF9DB" w14:textId="77777777" w:rsidR="00134FB6" w:rsidRDefault="00134FB6" w:rsidP="00134FB6">
      <w:pPr>
        <w:pStyle w:val="Body12pt"/>
      </w:pPr>
    </w:p>
    <w:p w14:paraId="316004BE" w14:textId="00E59FE1" w:rsidR="0078532B" w:rsidRDefault="00134FB6" w:rsidP="00134FB6">
      <w:pPr>
        <w:pStyle w:val="Body12pt"/>
      </w:pPr>
      <w:r>
        <w:t>• Any campus that a HEP has will now have an additional column saying franchis</w:t>
      </w:r>
      <w:r w:rsidR="00DD5BE9">
        <w:t>ed</w:t>
      </w:r>
      <w:r>
        <w:t xml:space="preserve"> location, this will allow the HEP to decide which campuses other HEPs can see when adding their franchise locations to CMS. Only locations that have yes will be able to be seen by other providers when searching for franchise locations</w:t>
      </w:r>
    </w:p>
    <w:p w14:paraId="5AAACDA9" w14:textId="77777777" w:rsidR="00134FB6" w:rsidRDefault="00134FB6" w:rsidP="00134FB6">
      <w:pPr>
        <w:pStyle w:val="Body12pt"/>
      </w:pPr>
    </w:p>
    <w:p w14:paraId="4D5FFEF6" w14:textId="4A4EF7F4" w:rsidR="00134FB6" w:rsidRDefault="00134FB6" w:rsidP="00134FB6">
      <w:pPr>
        <w:pStyle w:val="Body12pt"/>
      </w:pPr>
      <w:r w:rsidRPr="00134FB6">
        <w:t>• This can be edited by the HEP at location creation, or at any time by unticking the franchis</w:t>
      </w:r>
      <w:r w:rsidR="00DD5BE9">
        <w:t>ed</w:t>
      </w:r>
      <w:r w:rsidRPr="00134FB6">
        <w:t xml:space="preserve"> location box. We would expect only locations where active franchise partners are using the campus to be ticked.</w:t>
      </w:r>
    </w:p>
    <w:p w14:paraId="7EA8869F" w14:textId="77777777" w:rsidR="00134FB6" w:rsidRDefault="00134FB6" w:rsidP="00134FB6">
      <w:pPr>
        <w:pStyle w:val="Body12pt"/>
      </w:pPr>
    </w:p>
    <w:p w14:paraId="5EF0BF26" w14:textId="2FA860A2" w:rsidR="00134FB6" w:rsidRDefault="00134FB6" w:rsidP="00134FB6">
      <w:pPr>
        <w:pStyle w:val="Body12pt"/>
      </w:pPr>
      <w:r w:rsidRPr="00134FB6">
        <w:t>• If a HEP attempted to edit the franchis</w:t>
      </w:r>
      <w:r w:rsidR="00DD5BE9">
        <w:t>ed</w:t>
      </w:r>
      <w:r w:rsidRPr="00134FB6">
        <w:t xml:space="preserve"> location to no whilst another provider was currently using the location, validation in CMS will stop it being changed and a</w:t>
      </w:r>
      <w:r w:rsidR="00DD5BE9">
        <w:t>n</w:t>
      </w:r>
      <w:r w:rsidRPr="00134FB6">
        <w:t xml:space="preserve"> error message provided. We would expect the HEP to contact their franchise partner and/or SLC if there was a concern about the location being used incorrectly</w:t>
      </w:r>
    </w:p>
    <w:p w14:paraId="43C24DE5" w14:textId="77777777" w:rsidR="00134FB6" w:rsidRDefault="00134FB6" w:rsidP="00134FB6">
      <w:pPr>
        <w:pStyle w:val="Body12pt"/>
      </w:pPr>
    </w:p>
    <w:p w14:paraId="14A6BC55" w14:textId="3B5E62F9" w:rsidR="00134FB6" w:rsidRDefault="00134FB6" w:rsidP="00134FB6">
      <w:pPr>
        <w:pStyle w:val="HeaderGreen"/>
      </w:pPr>
      <w:r w:rsidRPr="00134FB6">
        <w:t>Qualifications</w:t>
      </w:r>
    </w:p>
    <w:p w14:paraId="3A21C310" w14:textId="77777777" w:rsidR="00134FB6" w:rsidRDefault="00134FB6" w:rsidP="00134FB6">
      <w:pPr>
        <w:pStyle w:val="HeaderGreen"/>
      </w:pPr>
    </w:p>
    <w:p w14:paraId="08E67A3D" w14:textId="700CCB81" w:rsidR="00134FB6" w:rsidRPr="00134FB6" w:rsidRDefault="00134FB6" w:rsidP="00134FB6">
      <w:pPr>
        <w:pStyle w:val="Body12pt"/>
        <w:rPr>
          <w:b/>
          <w:bCs/>
        </w:rPr>
      </w:pPr>
      <w:r w:rsidRPr="00134FB6">
        <w:rPr>
          <w:b/>
          <w:bCs/>
        </w:rPr>
        <w:t>Education courses:</w:t>
      </w:r>
    </w:p>
    <w:p w14:paraId="1F20B259" w14:textId="77777777" w:rsidR="00134FB6" w:rsidRPr="00134FB6" w:rsidRDefault="00134FB6" w:rsidP="00134FB6">
      <w:pPr>
        <w:pStyle w:val="Body12pt"/>
        <w:rPr>
          <w:b/>
          <w:bCs/>
        </w:rPr>
      </w:pPr>
    </w:p>
    <w:p w14:paraId="0CEC3A93" w14:textId="77777777" w:rsidR="00134FB6" w:rsidRDefault="00134FB6" w:rsidP="00134FB6">
      <w:pPr>
        <w:pStyle w:val="Body12pt"/>
      </w:pPr>
      <w:r>
        <w:t xml:space="preserve">Only a School Centred Initial Teacher Training (SCITT) Provider should use the qualification type Postgraduate </w:t>
      </w:r>
    </w:p>
    <w:p w14:paraId="5D8FC6A8" w14:textId="77777777" w:rsidR="00134FB6" w:rsidRDefault="00134FB6" w:rsidP="00134FB6">
      <w:pPr>
        <w:pStyle w:val="Body12pt"/>
      </w:pPr>
      <w:r>
        <w:t xml:space="preserve">ITT with QTS. </w:t>
      </w:r>
    </w:p>
    <w:p w14:paraId="349C6BE5" w14:textId="77777777" w:rsidR="00134FB6" w:rsidRDefault="00134FB6" w:rsidP="00134FB6">
      <w:pPr>
        <w:pStyle w:val="Body12pt"/>
      </w:pPr>
    </w:p>
    <w:p w14:paraId="6FC51024" w14:textId="77777777" w:rsidR="00134FB6" w:rsidRDefault="00134FB6" w:rsidP="00134FB6">
      <w:pPr>
        <w:pStyle w:val="Body12pt"/>
      </w:pPr>
      <w:r>
        <w:t xml:space="preserve">All other Providers should select one of the following </w:t>
      </w:r>
    </w:p>
    <w:p w14:paraId="1AB502D5" w14:textId="77777777" w:rsidR="00134FB6" w:rsidRDefault="00134FB6" w:rsidP="00134FB6">
      <w:pPr>
        <w:pStyle w:val="Body12pt"/>
      </w:pPr>
    </w:p>
    <w:p w14:paraId="7609319B" w14:textId="45FAAFB7" w:rsidR="00134FB6" w:rsidRDefault="00134FB6" w:rsidP="00134FB6">
      <w:pPr>
        <w:pStyle w:val="Body12pt"/>
        <w:numPr>
          <w:ilvl w:val="0"/>
          <w:numId w:val="16"/>
        </w:numPr>
      </w:pPr>
      <w:r>
        <w:t>Certificate in Education</w:t>
      </w:r>
    </w:p>
    <w:p w14:paraId="59C10350" w14:textId="3D33D473" w:rsidR="00134FB6" w:rsidRDefault="00134FB6" w:rsidP="00134FB6">
      <w:pPr>
        <w:pStyle w:val="Body12pt"/>
        <w:numPr>
          <w:ilvl w:val="0"/>
          <w:numId w:val="16"/>
        </w:numPr>
      </w:pPr>
      <w:r>
        <w:t>Post Graduate Certificate in Education</w:t>
      </w:r>
    </w:p>
    <w:p w14:paraId="5CA90594" w14:textId="086A18DF" w:rsidR="00134FB6" w:rsidRDefault="00134FB6" w:rsidP="00134FB6">
      <w:pPr>
        <w:pStyle w:val="Body12pt"/>
        <w:numPr>
          <w:ilvl w:val="0"/>
          <w:numId w:val="16"/>
        </w:numPr>
      </w:pPr>
      <w:r>
        <w:t>Professional Graduate Certificate in Education</w:t>
      </w:r>
    </w:p>
    <w:p w14:paraId="31B7A382" w14:textId="77777777" w:rsidR="00134FB6" w:rsidRDefault="00134FB6" w:rsidP="00134FB6">
      <w:pPr>
        <w:pStyle w:val="Body12pt"/>
      </w:pPr>
    </w:p>
    <w:p w14:paraId="5B47DFB9" w14:textId="77777777" w:rsidR="00134FB6" w:rsidRPr="00134FB6" w:rsidRDefault="00134FB6" w:rsidP="00134FB6">
      <w:pPr>
        <w:pStyle w:val="Body12pt"/>
        <w:rPr>
          <w:b/>
          <w:bCs/>
        </w:rPr>
      </w:pPr>
      <w:r w:rsidRPr="00134FB6">
        <w:rPr>
          <w:b/>
          <w:bCs/>
        </w:rPr>
        <w:lastRenderedPageBreak/>
        <w:t>Postgraduate Healthcare (English Domiciled Students only):</w:t>
      </w:r>
    </w:p>
    <w:p w14:paraId="7B2902E6" w14:textId="77777777" w:rsidR="00134FB6" w:rsidRDefault="00134FB6" w:rsidP="00134FB6">
      <w:pPr>
        <w:pStyle w:val="Body12pt"/>
      </w:pPr>
    </w:p>
    <w:p w14:paraId="6F5E97B1" w14:textId="126667D6" w:rsidR="00134FB6" w:rsidRDefault="00134FB6" w:rsidP="00134FB6">
      <w:pPr>
        <w:pStyle w:val="Body12pt"/>
        <w:numPr>
          <w:ilvl w:val="0"/>
          <w:numId w:val="16"/>
        </w:numPr>
      </w:pPr>
      <w:r>
        <w:t xml:space="preserve">Level 7, Allied Health Profession courses, pre-registered, in full-time attendance for a minimum of 2 years are </w:t>
      </w:r>
    </w:p>
    <w:p w14:paraId="1AEE5930" w14:textId="77777777" w:rsidR="00134FB6" w:rsidRDefault="00134FB6" w:rsidP="00134FB6">
      <w:pPr>
        <w:pStyle w:val="Body12pt"/>
        <w:ind w:left="720"/>
      </w:pPr>
      <w:r>
        <w:t xml:space="preserve">funded as </w:t>
      </w:r>
      <w:r w:rsidRPr="00134FB6">
        <w:rPr>
          <w:b/>
          <w:bCs/>
        </w:rPr>
        <w:t>Undergraduate</w:t>
      </w:r>
      <w:r>
        <w:t>.</w:t>
      </w:r>
    </w:p>
    <w:p w14:paraId="7BEA51CF" w14:textId="77777777" w:rsidR="00134FB6" w:rsidRDefault="00134FB6" w:rsidP="00134FB6">
      <w:pPr>
        <w:pStyle w:val="Body12pt"/>
      </w:pPr>
    </w:p>
    <w:p w14:paraId="433AA28E" w14:textId="7DAA4319" w:rsidR="00134FB6" w:rsidRDefault="00134FB6" w:rsidP="00134FB6">
      <w:pPr>
        <w:pStyle w:val="Body12pt"/>
        <w:numPr>
          <w:ilvl w:val="0"/>
          <w:numId w:val="22"/>
        </w:numPr>
      </w:pPr>
      <w:r>
        <w:t>Add to CMS as Undergraduate level of study and qualification type Postgraduate Healthcare</w:t>
      </w:r>
    </w:p>
    <w:p w14:paraId="16CC2318" w14:textId="77777777" w:rsidR="00134FB6" w:rsidRDefault="00134FB6" w:rsidP="00134FB6">
      <w:pPr>
        <w:pStyle w:val="HeaderGreen"/>
      </w:pPr>
    </w:p>
    <w:p w14:paraId="224732A6" w14:textId="3058ECB8" w:rsidR="00134FB6" w:rsidRDefault="00134FB6" w:rsidP="00134FB6">
      <w:pPr>
        <w:pStyle w:val="HeaderGreen"/>
      </w:pPr>
      <w:r w:rsidRPr="00134FB6">
        <w:t xml:space="preserve">Lower </w:t>
      </w:r>
      <w:r w:rsidR="007B3BA5">
        <w:t>f</w:t>
      </w:r>
      <w:r w:rsidRPr="00134FB6">
        <w:t xml:space="preserve">ee </w:t>
      </w:r>
      <w:r w:rsidR="007B3BA5">
        <w:t>l</w:t>
      </w:r>
      <w:r w:rsidRPr="00134FB6">
        <w:t xml:space="preserve">imit </w:t>
      </w:r>
      <w:r w:rsidR="007B3BA5">
        <w:t>f</w:t>
      </w:r>
      <w:r w:rsidRPr="00134FB6">
        <w:t xml:space="preserve">oundation </w:t>
      </w:r>
      <w:r w:rsidR="007B3BA5">
        <w:t>y</w:t>
      </w:r>
      <w:r w:rsidRPr="00134FB6">
        <w:t>ears</w:t>
      </w:r>
    </w:p>
    <w:p w14:paraId="61312BBC" w14:textId="77777777" w:rsidR="00134FB6" w:rsidRDefault="00134FB6" w:rsidP="00134FB6">
      <w:pPr>
        <w:pStyle w:val="HeaderGreen"/>
      </w:pPr>
    </w:p>
    <w:p w14:paraId="3DAF4CB1" w14:textId="2B40A7BE" w:rsidR="00134FB6" w:rsidRDefault="00A31CD4" w:rsidP="00A31CD4">
      <w:pPr>
        <w:pStyle w:val="Body12pt"/>
        <w:numPr>
          <w:ilvl w:val="0"/>
          <w:numId w:val="22"/>
        </w:numPr>
      </w:pPr>
      <w:r>
        <w:t>Academic year</w:t>
      </w:r>
      <w:r w:rsidR="00134FB6">
        <w:t xml:space="preserve"> </w:t>
      </w:r>
      <w:r>
        <w:t>20</w:t>
      </w:r>
      <w:r w:rsidR="00134FB6">
        <w:t>25/26 will see the introduction of new lower-fee limits for “classroom-based” foundation years, with a maximum fee limit of £5,760.</w:t>
      </w:r>
      <w:r>
        <w:br/>
      </w:r>
    </w:p>
    <w:p w14:paraId="27FBBC1F" w14:textId="60655A28" w:rsidR="00134FB6" w:rsidRDefault="00134FB6" w:rsidP="00A31CD4">
      <w:pPr>
        <w:pStyle w:val="Body12pt"/>
        <w:numPr>
          <w:ilvl w:val="0"/>
          <w:numId w:val="22"/>
        </w:numPr>
      </w:pPr>
      <w:r>
        <w:t xml:space="preserve">The term “classroom-based” refers to subjects currently in </w:t>
      </w:r>
      <w:proofErr w:type="spellStart"/>
      <w:r>
        <w:t>OfS</w:t>
      </w:r>
      <w:proofErr w:type="spellEnd"/>
      <w:r>
        <w:t xml:space="preserve"> Price Group D. The course content is taught in a classroom setting and does not include laboratory, studio, or fieldwork elements.</w:t>
      </w:r>
      <w:r w:rsidR="00A31CD4">
        <w:br/>
      </w:r>
    </w:p>
    <w:p w14:paraId="470D925E" w14:textId="7C944D45" w:rsidR="00134FB6" w:rsidRDefault="00134FB6" w:rsidP="00A31CD4">
      <w:pPr>
        <w:pStyle w:val="Body12pt"/>
        <w:numPr>
          <w:ilvl w:val="0"/>
          <w:numId w:val="22"/>
        </w:numPr>
      </w:pPr>
      <w:r>
        <w:t xml:space="preserve">Courses to which this lower-fee limit applies will be determined in reference to the list of HECOS codes under the specified CAH 03 groupings </w:t>
      </w:r>
      <w:r w:rsidR="00A31CD4">
        <w:br/>
      </w:r>
    </w:p>
    <w:p w14:paraId="438A069E" w14:textId="26072E9F" w:rsidR="00134FB6" w:rsidRDefault="00134FB6" w:rsidP="00A31CD4">
      <w:pPr>
        <w:pStyle w:val="Body12pt"/>
        <w:numPr>
          <w:ilvl w:val="0"/>
          <w:numId w:val="22"/>
        </w:numPr>
      </w:pPr>
      <w:r>
        <w:t>All other foundation years will continue to be charged at the higher-fee foundation year study limit which has a maximum fee limit of £9,535.</w:t>
      </w:r>
    </w:p>
    <w:p w14:paraId="756E520C" w14:textId="77777777" w:rsidR="00134FB6" w:rsidRDefault="00134FB6" w:rsidP="00134FB6">
      <w:pPr>
        <w:pStyle w:val="Body12pt"/>
      </w:pPr>
    </w:p>
    <w:p w14:paraId="72DF477E" w14:textId="77E7DE03" w:rsidR="00134FB6" w:rsidRDefault="00134FB6" w:rsidP="00134FB6">
      <w:pPr>
        <w:pStyle w:val="HeaderGreen"/>
      </w:pPr>
      <w:r w:rsidRPr="00134FB6">
        <w:t xml:space="preserve">Foundation </w:t>
      </w:r>
      <w:r w:rsidR="005D7D37">
        <w:t>y</w:t>
      </w:r>
      <w:r w:rsidRPr="00134FB6">
        <w:t xml:space="preserve">ears with multiple </w:t>
      </w:r>
      <w:proofErr w:type="spellStart"/>
      <w:r w:rsidRPr="00134FB6">
        <w:t>HECoS</w:t>
      </w:r>
      <w:proofErr w:type="spellEnd"/>
      <w:r w:rsidRPr="00134FB6">
        <w:t xml:space="preserve"> codes</w:t>
      </w:r>
    </w:p>
    <w:p w14:paraId="1A255A15" w14:textId="77777777" w:rsidR="00134FB6" w:rsidRDefault="00134FB6" w:rsidP="00134FB6">
      <w:pPr>
        <w:pStyle w:val="HeaderGreen"/>
      </w:pPr>
    </w:p>
    <w:p w14:paraId="09EB46B3" w14:textId="1A872DDA" w:rsidR="00134FB6" w:rsidRDefault="00134FB6" w:rsidP="00134FB6">
      <w:pPr>
        <w:pStyle w:val="Body12pt"/>
      </w:pPr>
      <w:r w:rsidRPr="00134FB6">
        <w:t xml:space="preserve">UG courses with, an integrated foundation year, can be assigned multiple </w:t>
      </w:r>
      <w:proofErr w:type="spellStart"/>
      <w:r w:rsidRPr="00134FB6">
        <w:t>HECoS</w:t>
      </w:r>
      <w:proofErr w:type="spellEnd"/>
      <w:r w:rsidRPr="00134FB6">
        <w:t xml:space="preserve"> codes (up to a maximum of 5).</w:t>
      </w:r>
    </w:p>
    <w:p w14:paraId="0F0C5CA5" w14:textId="77777777" w:rsidR="00134FB6" w:rsidRDefault="00134FB6" w:rsidP="00134FB6">
      <w:pPr>
        <w:pStyle w:val="Body12pt"/>
      </w:pPr>
    </w:p>
    <w:p w14:paraId="39A16FAC" w14:textId="77777777" w:rsidR="00602D0C" w:rsidRDefault="00602D0C" w:rsidP="00134FB6">
      <w:pPr>
        <w:pStyle w:val="HeaderGreen"/>
      </w:pPr>
    </w:p>
    <w:p w14:paraId="72ABB34C" w14:textId="77777777" w:rsidR="00602D0C" w:rsidRDefault="00602D0C" w:rsidP="00134FB6">
      <w:pPr>
        <w:pStyle w:val="HeaderGreen"/>
      </w:pPr>
    </w:p>
    <w:p w14:paraId="655C799A" w14:textId="77777777" w:rsidR="00A31CD4" w:rsidRDefault="00A31CD4" w:rsidP="00134FB6">
      <w:pPr>
        <w:pStyle w:val="HeaderGreen"/>
      </w:pPr>
    </w:p>
    <w:p w14:paraId="193BFE4A" w14:textId="6A6FFD7C" w:rsidR="00134FB6" w:rsidRDefault="00134FB6" w:rsidP="00134FB6">
      <w:pPr>
        <w:pStyle w:val="HeaderGreen"/>
      </w:pPr>
      <w:r w:rsidRPr="00134FB6">
        <w:lastRenderedPageBreak/>
        <w:t xml:space="preserve">Higher </w:t>
      </w:r>
      <w:r w:rsidR="007B3BA5">
        <w:t>t</w:t>
      </w:r>
      <w:r w:rsidRPr="00134FB6">
        <w:t xml:space="preserve">echnical </w:t>
      </w:r>
      <w:r w:rsidR="007B3BA5">
        <w:t>q</w:t>
      </w:r>
      <w:r w:rsidRPr="00134FB6">
        <w:t>ualifications (HTQs)</w:t>
      </w:r>
    </w:p>
    <w:p w14:paraId="0CCAA7D8" w14:textId="77777777" w:rsidR="00134FB6" w:rsidRDefault="00134FB6" w:rsidP="00134FB6">
      <w:pPr>
        <w:pStyle w:val="HeaderGreen"/>
      </w:pPr>
    </w:p>
    <w:p w14:paraId="2BE18DEA" w14:textId="77777777" w:rsidR="00134FB6" w:rsidRDefault="00134FB6" w:rsidP="00134FB6">
      <w:pPr>
        <w:pStyle w:val="Body12pt"/>
      </w:pPr>
      <w:r>
        <w:t>An eligible course must be:</w:t>
      </w:r>
    </w:p>
    <w:p w14:paraId="0054B551" w14:textId="77777777" w:rsidR="00134FB6" w:rsidRDefault="00134FB6" w:rsidP="00134FB6">
      <w:pPr>
        <w:pStyle w:val="Body12pt"/>
      </w:pPr>
    </w:p>
    <w:p w14:paraId="070E20EE" w14:textId="3D8DF02E" w:rsidR="00134FB6" w:rsidRDefault="00134FB6" w:rsidP="00134FB6">
      <w:pPr>
        <w:pStyle w:val="Body12pt"/>
        <w:numPr>
          <w:ilvl w:val="0"/>
          <w:numId w:val="20"/>
        </w:numPr>
      </w:pPr>
      <w:r>
        <w:t>IFATE approved</w:t>
      </w:r>
    </w:p>
    <w:p w14:paraId="4411F28C" w14:textId="273BD603" w:rsidR="00134FB6" w:rsidRDefault="00134FB6" w:rsidP="00134FB6">
      <w:pPr>
        <w:pStyle w:val="Body12pt"/>
        <w:numPr>
          <w:ilvl w:val="0"/>
          <w:numId w:val="20"/>
        </w:numPr>
      </w:pPr>
      <w:r>
        <w:t>level 4 or 5</w:t>
      </w:r>
    </w:p>
    <w:p w14:paraId="7F92C583" w14:textId="0EB3EA9A" w:rsidR="00134FB6" w:rsidRDefault="00134FB6" w:rsidP="00134FB6">
      <w:pPr>
        <w:pStyle w:val="Body12pt"/>
        <w:numPr>
          <w:ilvl w:val="0"/>
          <w:numId w:val="20"/>
        </w:numPr>
      </w:pPr>
      <w:r>
        <w:t>at least one academic year in duration</w:t>
      </w:r>
    </w:p>
    <w:p w14:paraId="3CB03EEE" w14:textId="153E3640" w:rsidR="00134FB6" w:rsidRDefault="00134FB6" w:rsidP="00134FB6">
      <w:pPr>
        <w:pStyle w:val="Body12pt"/>
        <w:numPr>
          <w:ilvl w:val="0"/>
          <w:numId w:val="20"/>
        </w:numPr>
      </w:pPr>
      <w:r>
        <w:t>provided by or in conjunction with an Office for Students registered provider in England</w:t>
      </w:r>
    </w:p>
    <w:p w14:paraId="506B128B" w14:textId="655F549F" w:rsidR="00134FB6" w:rsidRDefault="00134FB6" w:rsidP="00134FB6">
      <w:pPr>
        <w:pStyle w:val="Body12pt"/>
        <w:numPr>
          <w:ilvl w:val="0"/>
          <w:numId w:val="20"/>
        </w:numPr>
      </w:pPr>
      <w:r>
        <w:t xml:space="preserve">offered by an awarding body with degree awarding powers (or </w:t>
      </w:r>
    </w:p>
    <w:p w14:paraId="36B32F6B" w14:textId="77777777" w:rsidR="00134FB6" w:rsidRDefault="00134FB6" w:rsidP="00134FB6">
      <w:pPr>
        <w:pStyle w:val="Body12pt"/>
        <w:numPr>
          <w:ilvl w:val="0"/>
          <w:numId w:val="20"/>
        </w:numPr>
      </w:pPr>
      <w:r>
        <w:t>foundation degree awarding powers, where applicable)</w:t>
      </w:r>
    </w:p>
    <w:p w14:paraId="6C3C448F" w14:textId="3FD90E5F" w:rsidR="00134FB6" w:rsidRDefault="00134FB6" w:rsidP="00134FB6">
      <w:pPr>
        <w:pStyle w:val="Body12pt"/>
      </w:pPr>
      <w:r>
        <w:br/>
        <w:t>English students may be entitled to Part-Time Maintenance Loans for these courses. You must add the HTQ attribute so we can correctly assess them.</w:t>
      </w:r>
    </w:p>
    <w:p w14:paraId="206CC006" w14:textId="77777777" w:rsidR="00602D0C" w:rsidRDefault="00602D0C" w:rsidP="00134FB6">
      <w:pPr>
        <w:pStyle w:val="Body12pt"/>
      </w:pPr>
    </w:p>
    <w:p w14:paraId="71A7B080" w14:textId="77777777" w:rsidR="00602D0C" w:rsidRDefault="00602D0C" w:rsidP="00602D0C">
      <w:pPr>
        <w:pStyle w:val="Body12pt"/>
      </w:pPr>
      <w:r>
        <w:rPr>
          <w:noProof/>
          <w14:ligatures w14:val="standardContextual"/>
        </w:rPr>
        <w:drawing>
          <wp:inline distT="0" distB="0" distL="0" distR="0" wp14:anchorId="6831DBCA" wp14:editId="435BFB28">
            <wp:extent cx="4572000" cy="2733675"/>
            <wp:effectExtent l="0" t="0" r="0" b="9525"/>
            <wp:docPr id="10321562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B9BB6B" w14:textId="0560E7C2" w:rsidR="00C91305" w:rsidRDefault="00C91305" w:rsidP="00602D0C">
      <w:pPr>
        <w:pStyle w:val="HeaderGreen"/>
      </w:pPr>
      <w:r w:rsidRPr="00C91305">
        <w:lastRenderedPageBreak/>
        <w:t>Fees</w:t>
      </w:r>
    </w:p>
    <w:p w14:paraId="1EA329CB" w14:textId="77777777" w:rsidR="00602D0C" w:rsidRDefault="00602D0C" w:rsidP="00602D0C">
      <w:pPr>
        <w:pStyle w:val="HeaderGreen"/>
      </w:pPr>
    </w:p>
    <w:p w14:paraId="7DA52EC0" w14:textId="643C8133" w:rsidR="00602D0C" w:rsidRDefault="00602D0C" w:rsidP="00602D0C">
      <w:pPr>
        <w:pStyle w:val="Body12ptBold"/>
      </w:pPr>
      <w:r w:rsidRPr="00602D0C">
        <w:t>The Provider Fee Cap will be the maximum approved by</w:t>
      </w:r>
      <w:r w:rsidR="005D7D37">
        <w:t>:</w:t>
      </w:r>
    </w:p>
    <w:p w14:paraId="2361D515" w14:textId="77777777" w:rsidR="00602D0C" w:rsidRDefault="00602D0C" w:rsidP="00602D0C">
      <w:pPr>
        <w:pStyle w:val="Body12ptBold"/>
      </w:pPr>
    </w:p>
    <w:p w14:paraId="1FBB88F7" w14:textId="5C775965" w:rsidR="00602D0C" w:rsidRPr="00602D0C" w:rsidRDefault="00602D0C" w:rsidP="00602D0C">
      <w:pPr>
        <w:pStyle w:val="Body12ptBold"/>
        <w:numPr>
          <w:ilvl w:val="0"/>
          <w:numId w:val="22"/>
        </w:numPr>
        <w:rPr>
          <w:b w:val="0"/>
          <w:bCs w:val="0"/>
        </w:rPr>
      </w:pPr>
      <w:r w:rsidRPr="00602D0C">
        <w:rPr>
          <w:b w:val="0"/>
          <w:bCs w:val="0"/>
        </w:rPr>
        <w:t>The Office for Students (</w:t>
      </w:r>
      <w:proofErr w:type="spellStart"/>
      <w:r w:rsidRPr="00602D0C">
        <w:rPr>
          <w:b w:val="0"/>
          <w:bCs w:val="0"/>
        </w:rPr>
        <w:t>OfS</w:t>
      </w:r>
      <w:proofErr w:type="spellEnd"/>
      <w:r w:rsidRPr="00602D0C">
        <w:rPr>
          <w:b w:val="0"/>
          <w:bCs w:val="0"/>
        </w:rPr>
        <w:t>)</w:t>
      </w:r>
    </w:p>
    <w:p w14:paraId="78823C93" w14:textId="69AD6A7B" w:rsidR="00602D0C" w:rsidRPr="00602D0C" w:rsidRDefault="00602D0C" w:rsidP="00602D0C">
      <w:pPr>
        <w:pStyle w:val="Body12ptBold"/>
        <w:numPr>
          <w:ilvl w:val="0"/>
          <w:numId w:val="22"/>
        </w:numPr>
        <w:rPr>
          <w:b w:val="0"/>
          <w:bCs w:val="0"/>
        </w:rPr>
      </w:pPr>
      <w:r w:rsidRPr="00602D0C">
        <w:rPr>
          <w:b w:val="0"/>
          <w:bCs w:val="0"/>
        </w:rPr>
        <w:t>Commission for Tertiary Education and Research (</w:t>
      </w:r>
      <w:proofErr w:type="spellStart"/>
      <w:r w:rsidRPr="00602D0C">
        <w:rPr>
          <w:b w:val="0"/>
          <w:bCs w:val="0"/>
        </w:rPr>
        <w:t>Medr</w:t>
      </w:r>
      <w:proofErr w:type="spellEnd"/>
      <w:r w:rsidRPr="00602D0C">
        <w:rPr>
          <w:b w:val="0"/>
          <w:bCs w:val="0"/>
        </w:rPr>
        <w:t>).</w:t>
      </w:r>
    </w:p>
    <w:p w14:paraId="375AD33B" w14:textId="3CDAD503" w:rsidR="00602D0C" w:rsidRPr="00602D0C" w:rsidRDefault="00602D0C" w:rsidP="00602D0C">
      <w:pPr>
        <w:pStyle w:val="Body12ptBold"/>
        <w:numPr>
          <w:ilvl w:val="0"/>
          <w:numId w:val="22"/>
        </w:numPr>
        <w:rPr>
          <w:b w:val="0"/>
          <w:bCs w:val="0"/>
        </w:rPr>
      </w:pPr>
      <w:r w:rsidRPr="00602D0C">
        <w:rPr>
          <w:b w:val="0"/>
          <w:bCs w:val="0"/>
        </w:rPr>
        <w:t>The Department for the Economy Northern Ireland (</w:t>
      </w:r>
      <w:proofErr w:type="spellStart"/>
      <w:r w:rsidRPr="00602D0C">
        <w:rPr>
          <w:b w:val="0"/>
          <w:bCs w:val="0"/>
        </w:rPr>
        <w:t>DfENI</w:t>
      </w:r>
      <w:proofErr w:type="spellEnd"/>
      <w:r w:rsidRPr="00602D0C">
        <w:rPr>
          <w:b w:val="0"/>
          <w:bCs w:val="0"/>
        </w:rPr>
        <w:t>)</w:t>
      </w:r>
    </w:p>
    <w:p w14:paraId="36F4912A" w14:textId="322AB63F" w:rsidR="00602D0C" w:rsidRDefault="00602D0C" w:rsidP="00602D0C">
      <w:pPr>
        <w:pStyle w:val="Body12ptBold"/>
        <w:numPr>
          <w:ilvl w:val="0"/>
          <w:numId w:val="22"/>
        </w:numPr>
        <w:rPr>
          <w:b w:val="0"/>
          <w:bCs w:val="0"/>
        </w:rPr>
      </w:pPr>
      <w:r w:rsidRPr="00602D0C">
        <w:rPr>
          <w:b w:val="0"/>
          <w:bCs w:val="0"/>
        </w:rPr>
        <w:t>Student Awards Agency Scotland (SAAS)</w:t>
      </w:r>
    </w:p>
    <w:p w14:paraId="0DCBD4C8" w14:textId="77777777" w:rsidR="00602D0C" w:rsidRDefault="00602D0C" w:rsidP="00602D0C">
      <w:pPr>
        <w:pStyle w:val="Body12ptBold"/>
        <w:rPr>
          <w:b w:val="0"/>
          <w:bCs w:val="0"/>
        </w:rPr>
      </w:pPr>
    </w:p>
    <w:p w14:paraId="00466DF1" w14:textId="45FE55AF" w:rsidR="00602D0C" w:rsidRDefault="00602D0C" w:rsidP="00602D0C">
      <w:pPr>
        <w:pStyle w:val="Body12ptBold"/>
        <w:rPr>
          <w:b w:val="0"/>
          <w:bCs w:val="0"/>
        </w:rPr>
      </w:pPr>
      <w:r w:rsidRPr="00602D0C">
        <w:rPr>
          <w:b w:val="0"/>
          <w:bCs w:val="0"/>
        </w:rPr>
        <w:t xml:space="preserve">This </w:t>
      </w:r>
      <w:r w:rsidR="005D7D37">
        <w:rPr>
          <w:b w:val="0"/>
          <w:bCs w:val="0"/>
        </w:rPr>
        <w:t>f</w:t>
      </w:r>
      <w:r w:rsidRPr="00602D0C">
        <w:rPr>
          <w:b w:val="0"/>
          <w:bCs w:val="0"/>
        </w:rPr>
        <w:t xml:space="preserve">ee </w:t>
      </w:r>
      <w:r w:rsidR="005D7D37">
        <w:rPr>
          <w:b w:val="0"/>
          <w:bCs w:val="0"/>
        </w:rPr>
        <w:t>c</w:t>
      </w:r>
      <w:r w:rsidRPr="00602D0C">
        <w:rPr>
          <w:b w:val="0"/>
          <w:bCs w:val="0"/>
        </w:rPr>
        <w:t xml:space="preserve">ap is set for both </w:t>
      </w:r>
      <w:r w:rsidR="005D7D37">
        <w:rPr>
          <w:b w:val="0"/>
          <w:bCs w:val="0"/>
        </w:rPr>
        <w:t>f</w:t>
      </w:r>
      <w:r w:rsidRPr="00602D0C">
        <w:rPr>
          <w:b w:val="0"/>
          <w:bCs w:val="0"/>
        </w:rPr>
        <w:t>ull-</w:t>
      </w:r>
      <w:r w:rsidR="005D7D37">
        <w:rPr>
          <w:b w:val="0"/>
          <w:bCs w:val="0"/>
        </w:rPr>
        <w:t>t</w:t>
      </w:r>
      <w:r w:rsidRPr="00602D0C">
        <w:rPr>
          <w:b w:val="0"/>
          <w:bCs w:val="0"/>
        </w:rPr>
        <w:t xml:space="preserve">ime and </w:t>
      </w:r>
      <w:r w:rsidR="005D7D37">
        <w:rPr>
          <w:b w:val="0"/>
          <w:bCs w:val="0"/>
        </w:rPr>
        <w:t>p</w:t>
      </w:r>
      <w:r w:rsidRPr="00602D0C">
        <w:rPr>
          <w:b w:val="0"/>
          <w:bCs w:val="0"/>
        </w:rPr>
        <w:t>art-</w:t>
      </w:r>
      <w:r w:rsidR="005D7D37">
        <w:rPr>
          <w:b w:val="0"/>
          <w:bCs w:val="0"/>
        </w:rPr>
        <w:t>t</w:t>
      </w:r>
      <w:r w:rsidRPr="00602D0C">
        <w:rPr>
          <w:b w:val="0"/>
          <w:bCs w:val="0"/>
        </w:rPr>
        <w:t>ime courses.</w:t>
      </w:r>
    </w:p>
    <w:p w14:paraId="44F31070" w14:textId="77777777" w:rsidR="00602D0C" w:rsidRDefault="00602D0C" w:rsidP="00602D0C">
      <w:pPr>
        <w:pStyle w:val="Body12ptBold"/>
        <w:rPr>
          <w:b w:val="0"/>
          <w:bCs w:val="0"/>
        </w:rPr>
      </w:pPr>
    </w:p>
    <w:p w14:paraId="305DBD70" w14:textId="5A81A7A5" w:rsidR="00602D0C" w:rsidRDefault="00602D0C" w:rsidP="00602D0C">
      <w:pPr>
        <w:pStyle w:val="Body12ptBold"/>
        <w:rPr>
          <w:b w:val="0"/>
          <w:bCs w:val="0"/>
        </w:rPr>
      </w:pPr>
      <w:r w:rsidRPr="00602D0C">
        <w:rPr>
          <w:b w:val="0"/>
          <w:bCs w:val="0"/>
        </w:rPr>
        <w:t xml:space="preserve">When you enter fee information at course level, you will not be able to enter a fee rate higher than your </w:t>
      </w:r>
      <w:r w:rsidR="005D7D37">
        <w:rPr>
          <w:b w:val="0"/>
          <w:bCs w:val="0"/>
        </w:rPr>
        <w:t>f</w:t>
      </w:r>
      <w:r w:rsidRPr="00602D0C">
        <w:rPr>
          <w:b w:val="0"/>
          <w:bCs w:val="0"/>
        </w:rPr>
        <w:t xml:space="preserve">ee </w:t>
      </w:r>
      <w:r w:rsidR="005D7D37">
        <w:rPr>
          <w:b w:val="0"/>
          <w:bCs w:val="0"/>
        </w:rPr>
        <w:t>c</w:t>
      </w:r>
      <w:r w:rsidRPr="00602D0C">
        <w:rPr>
          <w:b w:val="0"/>
          <w:bCs w:val="0"/>
        </w:rPr>
        <w:t>ap.</w:t>
      </w:r>
    </w:p>
    <w:p w14:paraId="0BFF2CA0" w14:textId="77777777" w:rsidR="00602D0C" w:rsidRDefault="00602D0C" w:rsidP="00602D0C">
      <w:pPr>
        <w:pStyle w:val="Body12ptBold"/>
        <w:rPr>
          <w:b w:val="0"/>
          <w:bCs w:val="0"/>
        </w:rPr>
      </w:pPr>
    </w:p>
    <w:p w14:paraId="4AA80588" w14:textId="4DF0EB4A" w:rsidR="00602D0C" w:rsidRPr="00602D0C" w:rsidRDefault="00602D0C" w:rsidP="00602D0C">
      <w:pPr>
        <w:pStyle w:val="Body12ptBold"/>
      </w:pPr>
      <w:r w:rsidRPr="00602D0C">
        <w:t xml:space="preserve">Remember to amend the fees where </w:t>
      </w:r>
      <w:r w:rsidR="005D7D37">
        <w:t>p</w:t>
      </w:r>
      <w:r w:rsidRPr="00602D0C">
        <w:t xml:space="preserve">olicy </w:t>
      </w:r>
      <w:r w:rsidR="005D7D37">
        <w:t>r</w:t>
      </w:r>
      <w:r w:rsidRPr="00602D0C">
        <w:t>egulations or specific course</w:t>
      </w:r>
      <w:r w:rsidR="005D7D37">
        <w:t xml:space="preserve"> or </w:t>
      </w:r>
      <w:r w:rsidRPr="00602D0C">
        <w:t>course year dictates, such as</w:t>
      </w:r>
      <w:r w:rsidR="005D7D37">
        <w:t>:</w:t>
      </w:r>
    </w:p>
    <w:p w14:paraId="0A7BFBD2" w14:textId="77777777" w:rsidR="00602D0C" w:rsidRDefault="00602D0C" w:rsidP="00602D0C">
      <w:pPr>
        <w:pStyle w:val="Body12ptBold"/>
        <w:rPr>
          <w:b w:val="0"/>
          <w:bCs w:val="0"/>
        </w:rPr>
      </w:pPr>
    </w:p>
    <w:p w14:paraId="7F7C6F72" w14:textId="689A75EA" w:rsidR="00602D0C" w:rsidRPr="00602D0C" w:rsidRDefault="005D7D37" w:rsidP="00602D0C">
      <w:pPr>
        <w:pStyle w:val="Body12ptBold"/>
        <w:numPr>
          <w:ilvl w:val="0"/>
          <w:numId w:val="22"/>
        </w:numPr>
        <w:rPr>
          <w:b w:val="0"/>
          <w:bCs w:val="0"/>
        </w:rPr>
      </w:pPr>
      <w:r>
        <w:rPr>
          <w:b w:val="0"/>
          <w:bCs w:val="0"/>
        </w:rPr>
        <w:t>f</w:t>
      </w:r>
      <w:r w:rsidR="00602D0C" w:rsidRPr="00602D0C">
        <w:rPr>
          <w:b w:val="0"/>
          <w:bCs w:val="0"/>
        </w:rPr>
        <w:t xml:space="preserve">inal Year Cap </w:t>
      </w:r>
    </w:p>
    <w:p w14:paraId="63CC616C" w14:textId="118A20DF" w:rsidR="00602D0C" w:rsidRPr="00602D0C" w:rsidRDefault="005D7D37" w:rsidP="00602D0C">
      <w:pPr>
        <w:pStyle w:val="Body12ptBold"/>
        <w:numPr>
          <w:ilvl w:val="0"/>
          <w:numId w:val="22"/>
        </w:numPr>
        <w:rPr>
          <w:b w:val="0"/>
          <w:bCs w:val="0"/>
        </w:rPr>
      </w:pPr>
      <w:r>
        <w:rPr>
          <w:b w:val="0"/>
          <w:bCs w:val="0"/>
        </w:rPr>
        <w:t>p</w:t>
      </w:r>
      <w:r w:rsidR="00602D0C" w:rsidRPr="00602D0C">
        <w:rPr>
          <w:b w:val="0"/>
          <w:bCs w:val="0"/>
        </w:rPr>
        <w:t>lacement/Study Abroad</w:t>
      </w:r>
    </w:p>
    <w:p w14:paraId="32C25390" w14:textId="73F1615D" w:rsidR="00602D0C" w:rsidRPr="00602D0C" w:rsidRDefault="005D7D37" w:rsidP="00602D0C">
      <w:pPr>
        <w:pStyle w:val="Body12ptBold"/>
        <w:numPr>
          <w:ilvl w:val="0"/>
          <w:numId w:val="22"/>
        </w:numPr>
        <w:rPr>
          <w:b w:val="0"/>
          <w:bCs w:val="0"/>
        </w:rPr>
      </w:pPr>
      <w:r>
        <w:rPr>
          <w:b w:val="0"/>
          <w:bCs w:val="0"/>
        </w:rPr>
        <w:t>y</w:t>
      </w:r>
      <w:r w:rsidR="00602D0C" w:rsidRPr="00602D0C">
        <w:rPr>
          <w:b w:val="0"/>
          <w:bCs w:val="0"/>
        </w:rPr>
        <w:t>ear 0</w:t>
      </w:r>
    </w:p>
    <w:p w14:paraId="209472A0" w14:textId="0B6A67C5" w:rsidR="00602D0C" w:rsidRDefault="005D7D37" w:rsidP="00602D0C">
      <w:pPr>
        <w:pStyle w:val="Body12ptBold"/>
        <w:numPr>
          <w:ilvl w:val="0"/>
          <w:numId w:val="22"/>
        </w:numPr>
        <w:rPr>
          <w:b w:val="0"/>
          <w:bCs w:val="0"/>
        </w:rPr>
      </w:pPr>
      <w:r>
        <w:rPr>
          <w:b w:val="0"/>
          <w:bCs w:val="0"/>
        </w:rPr>
        <w:t>i</w:t>
      </w:r>
      <w:r w:rsidR="00602D0C" w:rsidRPr="00602D0C">
        <w:rPr>
          <w:b w:val="0"/>
          <w:bCs w:val="0"/>
        </w:rPr>
        <w:t>nternal decisions to alter fees for year-on-year changes</w:t>
      </w:r>
    </w:p>
    <w:p w14:paraId="5BE813CE" w14:textId="77777777" w:rsidR="00602D0C" w:rsidRDefault="00602D0C" w:rsidP="00602D0C">
      <w:pPr>
        <w:pStyle w:val="Body12ptBold"/>
        <w:rPr>
          <w:b w:val="0"/>
          <w:bCs w:val="0"/>
        </w:rPr>
      </w:pPr>
    </w:p>
    <w:p w14:paraId="230C87BB" w14:textId="5E7B319E" w:rsidR="00602D0C" w:rsidRDefault="007B3BA5" w:rsidP="00602D0C">
      <w:pPr>
        <w:pStyle w:val="HeaderGreen"/>
      </w:pPr>
      <w:r>
        <w:t>Academic year 20</w:t>
      </w:r>
      <w:r w:rsidR="00602D0C" w:rsidRPr="00602D0C">
        <w:t xml:space="preserve">25/26 – ARB </w:t>
      </w:r>
      <w:r>
        <w:t>a</w:t>
      </w:r>
      <w:r w:rsidR="00602D0C" w:rsidRPr="00602D0C">
        <w:t xml:space="preserve">ccreditation </w:t>
      </w:r>
      <w:r>
        <w:t>c</w:t>
      </w:r>
      <w:r w:rsidR="00602D0C" w:rsidRPr="00602D0C">
        <w:t>hanges</w:t>
      </w:r>
    </w:p>
    <w:p w14:paraId="0D077021" w14:textId="77777777" w:rsidR="00602D0C" w:rsidRDefault="00602D0C" w:rsidP="00602D0C">
      <w:pPr>
        <w:pStyle w:val="HeaderGreen"/>
      </w:pPr>
    </w:p>
    <w:p w14:paraId="1B31938A" w14:textId="20F48974" w:rsidR="00602D0C" w:rsidRPr="00602D0C" w:rsidRDefault="00602D0C" w:rsidP="00602D0C">
      <w:pPr>
        <w:pStyle w:val="Body12pt"/>
        <w:rPr>
          <w:b/>
          <w:bCs/>
        </w:rPr>
      </w:pPr>
      <w:r w:rsidRPr="00602D0C">
        <w:rPr>
          <w:b/>
          <w:bCs/>
        </w:rPr>
        <w:t>Current policy</w:t>
      </w:r>
      <w:r>
        <w:rPr>
          <w:b/>
          <w:bCs/>
        </w:rPr>
        <w:br/>
      </w:r>
    </w:p>
    <w:p w14:paraId="0AFB5BE6" w14:textId="31FBF518" w:rsidR="00602D0C" w:rsidRDefault="00602D0C" w:rsidP="00602D0C">
      <w:pPr>
        <w:pStyle w:val="Body12pt"/>
        <w:numPr>
          <w:ilvl w:val="0"/>
          <w:numId w:val="22"/>
        </w:numPr>
      </w:pPr>
      <w:r>
        <w:t>Two primary “exception” rules exist for architecture courses</w:t>
      </w:r>
    </w:p>
    <w:p w14:paraId="13B44438" w14:textId="29F65E34" w:rsidR="00602D0C" w:rsidRDefault="00602D0C" w:rsidP="00602D0C">
      <w:pPr>
        <w:pStyle w:val="Body12pt"/>
        <w:numPr>
          <w:ilvl w:val="0"/>
          <w:numId w:val="22"/>
        </w:numPr>
      </w:pPr>
      <w:r>
        <w:t xml:space="preserve">Students who already hold an ELQ can still qualify for ML </w:t>
      </w:r>
    </w:p>
    <w:p w14:paraId="39E55DA1" w14:textId="6B88CB7A" w:rsidR="00602D0C" w:rsidRDefault="00602D0C" w:rsidP="00602D0C">
      <w:pPr>
        <w:pStyle w:val="Body12pt"/>
        <w:numPr>
          <w:ilvl w:val="0"/>
          <w:numId w:val="22"/>
        </w:numPr>
      </w:pPr>
      <w:r>
        <w:t>Part 2 courses can qualify for UG funding, provided the student’s study course meets the definition of a single course.</w:t>
      </w:r>
    </w:p>
    <w:p w14:paraId="5A0AAB31" w14:textId="79F2F84F" w:rsidR="00602D0C" w:rsidRDefault="00602D0C" w:rsidP="00602D0C">
      <w:pPr>
        <w:pStyle w:val="Body12pt"/>
        <w:numPr>
          <w:ilvl w:val="0"/>
          <w:numId w:val="22"/>
        </w:numPr>
      </w:pPr>
      <w:r>
        <w:t>A course leads to qualification where completion of the course leads to registration with ARB.</w:t>
      </w:r>
    </w:p>
    <w:p w14:paraId="7E3AFA34" w14:textId="77777777" w:rsidR="00602D0C" w:rsidRDefault="00602D0C" w:rsidP="00602D0C">
      <w:pPr>
        <w:pStyle w:val="Body12pt"/>
      </w:pPr>
    </w:p>
    <w:p w14:paraId="5576DE4F" w14:textId="77777777" w:rsidR="00602D0C" w:rsidRDefault="00602D0C" w:rsidP="00602D0C">
      <w:pPr>
        <w:pStyle w:val="Body12pt"/>
        <w:rPr>
          <w:b/>
          <w:bCs/>
        </w:rPr>
      </w:pPr>
      <w:r w:rsidRPr="00602D0C">
        <w:rPr>
          <w:b/>
          <w:bCs/>
        </w:rPr>
        <w:lastRenderedPageBreak/>
        <w:t>Current process</w:t>
      </w:r>
    </w:p>
    <w:p w14:paraId="54FEDC5F" w14:textId="77777777" w:rsidR="00602D0C" w:rsidRPr="00602D0C" w:rsidRDefault="00602D0C" w:rsidP="00602D0C">
      <w:pPr>
        <w:pStyle w:val="Body12pt"/>
        <w:rPr>
          <w:b/>
          <w:bCs/>
        </w:rPr>
      </w:pPr>
    </w:p>
    <w:p w14:paraId="1D53C836" w14:textId="14A2B9A1" w:rsidR="00602D0C" w:rsidRDefault="00602D0C" w:rsidP="00602D0C">
      <w:pPr>
        <w:pStyle w:val="Body12pt"/>
        <w:numPr>
          <w:ilvl w:val="0"/>
          <w:numId w:val="22"/>
        </w:numPr>
      </w:pPr>
      <w:r>
        <w:t xml:space="preserve">check that the part 1 or 2 course, appears on the ARB list. </w:t>
      </w:r>
    </w:p>
    <w:p w14:paraId="15C3F9FD" w14:textId="41B816C0" w:rsidR="00602D0C" w:rsidRDefault="00602D0C" w:rsidP="00602D0C">
      <w:pPr>
        <w:pStyle w:val="Body12pt"/>
        <w:numPr>
          <w:ilvl w:val="0"/>
          <w:numId w:val="22"/>
        </w:numPr>
      </w:pPr>
      <w:r>
        <w:t>If the part 1 course appears on this list, the SLC would assess a student for ML under ELQ exemption.</w:t>
      </w:r>
    </w:p>
    <w:p w14:paraId="31871729" w14:textId="4E4DA59B" w:rsidR="00602D0C" w:rsidRDefault="00602D0C" w:rsidP="00602D0C">
      <w:pPr>
        <w:pStyle w:val="Body12pt"/>
        <w:numPr>
          <w:ilvl w:val="0"/>
          <w:numId w:val="22"/>
        </w:numPr>
      </w:pPr>
      <w:r>
        <w:t>If both part 1 and part 2 appear on this list, assess the student as being on a single course of architecture study</w:t>
      </w:r>
    </w:p>
    <w:p w14:paraId="440A718E" w14:textId="77777777" w:rsidR="00602D0C" w:rsidRDefault="00602D0C" w:rsidP="00602D0C">
      <w:pPr>
        <w:pStyle w:val="Body12pt"/>
      </w:pPr>
    </w:p>
    <w:p w14:paraId="50A701FA" w14:textId="08EE9658" w:rsidR="00602D0C" w:rsidRPr="007B3BA5" w:rsidRDefault="00602D0C" w:rsidP="00602D0C">
      <w:pPr>
        <w:pStyle w:val="Body12pt"/>
        <w:rPr>
          <w:b/>
          <w:bCs/>
        </w:rPr>
      </w:pPr>
      <w:r w:rsidRPr="007B3BA5">
        <w:rPr>
          <w:b/>
          <w:bCs/>
        </w:rPr>
        <w:t>DfE/WG/DfE NI have confirmed that:</w:t>
      </w:r>
    </w:p>
    <w:p w14:paraId="771D27DF" w14:textId="77777777" w:rsidR="00602D0C" w:rsidRDefault="00602D0C" w:rsidP="00602D0C">
      <w:pPr>
        <w:pStyle w:val="Body12pt"/>
      </w:pPr>
    </w:p>
    <w:p w14:paraId="02579B2E" w14:textId="5E14136B" w:rsidR="00602D0C" w:rsidRDefault="00602D0C" w:rsidP="00602D0C">
      <w:pPr>
        <w:pStyle w:val="Body12pt"/>
        <w:numPr>
          <w:ilvl w:val="0"/>
          <w:numId w:val="26"/>
        </w:numPr>
      </w:pPr>
      <w:r w:rsidRPr="00602D0C">
        <w:t xml:space="preserve">Only UG architecture degrees courses with </w:t>
      </w:r>
      <w:proofErr w:type="spellStart"/>
      <w:r w:rsidRPr="00602D0C">
        <w:t>HECoS</w:t>
      </w:r>
      <w:proofErr w:type="spellEnd"/>
      <w:r w:rsidRPr="00602D0C">
        <w:t xml:space="preserve"> codes that sit within a relevant architecture CAH3 Code 13-01-01 “architecture”, will be exempt from ELQ rules</w:t>
      </w:r>
      <w:r>
        <w:t>.</w:t>
      </w:r>
    </w:p>
    <w:p w14:paraId="795F1AC3" w14:textId="77777777" w:rsidR="00602D0C" w:rsidRDefault="00602D0C" w:rsidP="00602D0C">
      <w:pPr>
        <w:pStyle w:val="Body12pt"/>
      </w:pPr>
    </w:p>
    <w:p w14:paraId="22FE1619" w14:textId="7F078206" w:rsidR="00602D0C" w:rsidRDefault="00602D0C" w:rsidP="00602D0C">
      <w:pPr>
        <w:pStyle w:val="Body12pt"/>
        <w:numPr>
          <w:ilvl w:val="0"/>
          <w:numId w:val="26"/>
        </w:numPr>
      </w:pPr>
      <w:r w:rsidRPr="00602D0C">
        <w:t>ARB accredited part 2 courses remain eligible for UG support</w:t>
      </w:r>
      <w:r>
        <w:t>.</w:t>
      </w:r>
    </w:p>
    <w:p w14:paraId="0FDD6912" w14:textId="77777777" w:rsidR="00602D0C" w:rsidRDefault="00602D0C" w:rsidP="00602D0C">
      <w:pPr>
        <w:pStyle w:val="Body12pt"/>
      </w:pPr>
    </w:p>
    <w:p w14:paraId="7B53E80D" w14:textId="29C82A32" w:rsidR="00602D0C" w:rsidRDefault="00602D0C" w:rsidP="00602D0C">
      <w:pPr>
        <w:pStyle w:val="Body12pt"/>
        <w:numPr>
          <w:ilvl w:val="0"/>
          <w:numId w:val="26"/>
        </w:numPr>
      </w:pPr>
      <w:r>
        <w:t>S</w:t>
      </w:r>
      <w:r w:rsidRPr="00602D0C">
        <w:t>tudents will meet the single</w:t>
      </w:r>
      <w:r>
        <w:t xml:space="preserve"> </w:t>
      </w:r>
      <w:r w:rsidRPr="00602D0C">
        <w:t>course requirements where they undertake a part 1 UG architecture course that leads to qualification as an architect</w:t>
      </w:r>
      <w:r>
        <w:t>.</w:t>
      </w:r>
    </w:p>
    <w:p w14:paraId="5869D69B" w14:textId="77777777" w:rsidR="00602D0C" w:rsidRDefault="00602D0C" w:rsidP="00602D0C">
      <w:pPr>
        <w:pStyle w:val="Body12pt"/>
      </w:pPr>
    </w:p>
    <w:p w14:paraId="093A191F" w14:textId="7CF8A26E" w:rsidR="00602D0C" w:rsidRDefault="00602D0C" w:rsidP="00602D0C">
      <w:pPr>
        <w:pStyle w:val="Body12pt"/>
        <w:numPr>
          <w:ilvl w:val="0"/>
          <w:numId w:val="26"/>
        </w:numPr>
      </w:pPr>
      <w:r w:rsidRPr="00602D0C">
        <w:t xml:space="preserve">Progress on to an ARB accredited part 2 PG </w:t>
      </w:r>
      <w:proofErr w:type="spellStart"/>
      <w:r w:rsidRPr="00602D0C">
        <w:t>MArch</w:t>
      </w:r>
      <w:proofErr w:type="spellEnd"/>
      <w:r w:rsidRPr="00602D0C">
        <w:t xml:space="preserve"> course that leads to qualification as an architect within a defined period (usually 3 years).</w:t>
      </w:r>
    </w:p>
    <w:p w14:paraId="2D519CC7" w14:textId="77777777" w:rsidR="00602D0C" w:rsidRDefault="00602D0C" w:rsidP="00602D0C">
      <w:pPr>
        <w:pStyle w:val="Body12pt"/>
      </w:pPr>
    </w:p>
    <w:p w14:paraId="04B68BEE" w14:textId="389AEDC1" w:rsidR="00602D0C" w:rsidRDefault="00602D0C" w:rsidP="00602D0C">
      <w:pPr>
        <w:pStyle w:val="Body12pt"/>
        <w:numPr>
          <w:ilvl w:val="0"/>
          <w:numId w:val="26"/>
        </w:numPr>
      </w:pPr>
      <w:r w:rsidRPr="00602D0C">
        <w:t>Students will not be considered to meet the single-course requirements where they have studied at a non-architecture course and as a result, would only be eligible for PG funding</w:t>
      </w:r>
      <w:r>
        <w:t>.</w:t>
      </w:r>
    </w:p>
    <w:p w14:paraId="509F0E37" w14:textId="77777777" w:rsidR="00602D0C" w:rsidRDefault="00602D0C" w:rsidP="00602D0C">
      <w:pPr>
        <w:pStyle w:val="ListParagraph"/>
      </w:pPr>
    </w:p>
    <w:p w14:paraId="1D18847A" w14:textId="77777777" w:rsidR="00602D0C" w:rsidRDefault="00602D0C" w:rsidP="00602D0C">
      <w:pPr>
        <w:pStyle w:val="Body12pt"/>
      </w:pPr>
    </w:p>
    <w:p w14:paraId="42885FA8" w14:textId="77777777" w:rsidR="00602D0C" w:rsidRDefault="00602D0C" w:rsidP="00602D0C">
      <w:pPr>
        <w:pStyle w:val="Body12pt"/>
      </w:pPr>
    </w:p>
    <w:p w14:paraId="6726C385" w14:textId="77777777" w:rsidR="00602D0C" w:rsidRDefault="00602D0C" w:rsidP="00602D0C">
      <w:pPr>
        <w:pStyle w:val="Body12pt"/>
      </w:pPr>
    </w:p>
    <w:p w14:paraId="6E283B25" w14:textId="77777777" w:rsidR="00602D0C" w:rsidRDefault="00602D0C" w:rsidP="00602D0C">
      <w:pPr>
        <w:pStyle w:val="Body12pt"/>
      </w:pPr>
    </w:p>
    <w:p w14:paraId="67B4DD2B" w14:textId="77777777" w:rsidR="00602D0C" w:rsidRDefault="00602D0C" w:rsidP="00602D0C">
      <w:pPr>
        <w:pStyle w:val="Body12pt"/>
      </w:pPr>
    </w:p>
    <w:p w14:paraId="29AEB387" w14:textId="77777777" w:rsidR="00602D0C" w:rsidRDefault="00602D0C" w:rsidP="00602D0C">
      <w:pPr>
        <w:pStyle w:val="Body12pt"/>
      </w:pPr>
    </w:p>
    <w:p w14:paraId="25007C8E" w14:textId="77777777" w:rsidR="007B3BA5" w:rsidRDefault="007B3BA5" w:rsidP="00602D0C">
      <w:pPr>
        <w:pStyle w:val="HeaderGreen"/>
      </w:pPr>
    </w:p>
    <w:p w14:paraId="1C520EC1" w14:textId="51AEF87D" w:rsidR="00602D0C" w:rsidRDefault="00602D0C" w:rsidP="00602D0C">
      <w:pPr>
        <w:pStyle w:val="HeaderGreen"/>
      </w:pPr>
      <w:r w:rsidRPr="00602D0C">
        <w:lastRenderedPageBreak/>
        <w:t>Part</w:t>
      </w:r>
      <w:r w:rsidR="007B3BA5">
        <w:t xml:space="preserve"> t</w:t>
      </w:r>
      <w:r w:rsidRPr="00602D0C">
        <w:t xml:space="preserve">ime </w:t>
      </w:r>
      <w:r w:rsidR="007B3BA5">
        <w:t>u</w:t>
      </w:r>
      <w:r w:rsidRPr="00602D0C">
        <w:t xml:space="preserve">ndergraduate </w:t>
      </w:r>
      <w:r w:rsidR="007B3BA5">
        <w:t>c</w:t>
      </w:r>
      <w:r w:rsidRPr="00602D0C">
        <w:t>ourses</w:t>
      </w:r>
    </w:p>
    <w:p w14:paraId="1645DB43" w14:textId="77777777" w:rsidR="00602D0C" w:rsidRDefault="00602D0C" w:rsidP="00602D0C">
      <w:pPr>
        <w:pStyle w:val="HeaderGreen"/>
      </w:pPr>
    </w:p>
    <w:p w14:paraId="2E62645D" w14:textId="40EA0567" w:rsidR="00602D0C" w:rsidRDefault="00602D0C" w:rsidP="00602D0C">
      <w:pPr>
        <w:pStyle w:val="Body12pt"/>
      </w:pPr>
      <w:r w:rsidRPr="00602D0C">
        <w:t xml:space="preserve">For a student to be eligible for </w:t>
      </w:r>
      <w:r w:rsidR="005D7D37">
        <w:t>p</w:t>
      </w:r>
      <w:r w:rsidRPr="00602D0C">
        <w:t>art-</w:t>
      </w:r>
      <w:r w:rsidR="005D7D37">
        <w:t>t</w:t>
      </w:r>
      <w:r w:rsidRPr="00602D0C">
        <w:t xml:space="preserve">ime funding they need to be studying a minimum intensity of 25%. </w:t>
      </w:r>
    </w:p>
    <w:p w14:paraId="173DA6A6" w14:textId="77777777" w:rsidR="00602D0C" w:rsidRDefault="00602D0C" w:rsidP="00602D0C">
      <w:pPr>
        <w:pStyle w:val="Body12pt"/>
      </w:pPr>
    </w:p>
    <w:p w14:paraId="465E0719" w14:textId="0FB1134A" w:rsidR="00602D0C" w:rsidRDefault="00602D0C" w:rsidP="00602D0C">
      <w:pPr>
        <w:pStyle w:val="Body12pt"/>
      </w:pPr>
      <w:r w:rsidRPr="00602D0C">
        <w:t xml:space="preserve">For example. A four-year course studied at 25% intensity would mean the student would study over sixteen years. You would select </w:t>
      </w:r>
      <w:r w:rsidRPr="00602D0C">
        <w:rPr>
          <w:b/>
          <w:bCs/>
        </w:rPr>
        <w:t>4 Years Full-Time Equivalent Duration</w:t>
      </w:r>
      <w:r w:rsidRPr="00602D0C">
        <w:t>.</w:t>
      </w:r>
    </w:p>
    <w:p w14:paraId="278493BF" w14:textId="77777777" w:rsidR="00602D0C" w:rsidRDefault="00602D0C" w:rsidP="00602D0C">
      <w:pPr>
        <w:pStyle w:val="Body12pt"/>
      </w:pPr>
    </w:p>
    <w:p w14:paraId="31B5D10B" w14:textId="05F30C72" w:rsidR="00602D0C" w:rsidRDefault="003A4DEA" w:rsidP="003A4DEA">
      <w:pPr>
        <w:pStyle w:val="HeaderGreen"/>
      </w:pPr>
      <w:r w:rsidRPr="003A4DEA">
        <w:t>Full</w:t>
      </w:r>
      <w:r w:rsidR="007B3BA5">
        <w:t xml:space="preserve"> t</w:t>
      </w:r>
      <w:r w:rsidRPr="003A4DEA">
        <w:t xml:space="preserve">ime </w:t>
      </w:r>
      <w:r w:rsidR="007B3BA5">
        <w:t>e</w:t>
      </w:r>
      <w:r w:rsidRPr="003A4DEA">
        <w:t xml:space="preserve">quivalent </w:t>
      </w:r>
      <w:r w:rsidR="007B3BA5">
        <w:t>d</w:t>
      </w:r>
      <w:r w:rsidRPr="003A4DEA">
        <w:t>urations</w:t>
      </w:r>
    </w:p>
    <w:p w14:paraId="00CFC894" w14:textId="77777777" w:rsidR="003A4DEA" w:rsidRDefault="003A4DEA" w:rsidP="003A4DEA">
      <w:pPr>
        <w:pStyle w:val="HeaderGreen"/>
      </w:pPr>
    </w:p>
    <w:p w14:paraId="0E6757D3" w14:textId="77777777" w:rsidR="003A4DEA" w:rsidRDefault="003A4DEA" w:rsidP="003A4DEA">
      <w:pPr>
        <w:pStyle w:val="Body12pt"/>
      </w:pPr>
      <w:r w:rsidRPr="003A4DEA">
        <w:t>It is important that you submit an accurate duration for your course.</w:t>
      </w:r>
    </w:p>
    <w:p w14:paraId="11B01CEC" w14:textId="77777777" w:rsidR="003A4DEA" w:rsidRDefault="003A4DEA" w:rsidP="003A4DEA">
      <w:pPr>
        <w:pStyle w:val="Body12pt"/>
      </w:pPr>
    </w:p>
    <w:p w14:paraId="5F7C7EE6" w14:textId="77777777" w:rsidR="003A4DEA" w:rsidRDefault="003A4DEA" w:rsidP="003A4DEA">
      <w:pPr>
        <w:pStyle w:val="Body12pt"/>
      </w:pPr>
      <w:r w:rsidRPr="003A4DEA">
        <w:t>You should enter the ‘full-time equivalent’ (FTE) duration of the parttime course you are submitting. You should not enter the duration of the part-time course.</w:t>
      </w:r>
    </w:p>
    <w:p w14:paraId="69336007" w14:textId="77777777" w:rsidR="003A4DEA" w:rsidRDefault="003A4DEA" w:rsidP="003A4DEA">
      <w:pPr>
        <w:pStyle w:val="Body12pt"/>
      </w:pPr>
    </w:p>
    <w:p w14:paraId="656FA725" w14:textId="1CA869EC" w:rsidR="003A4DEA" w:rsidRPr="00602D0C" w:rsidRDefault="003A4DEA" w:rsidP="003A4DEA">
      <w:pPr>
        <w:pStyle w:val="Body12pt"/>
      </w:pPr>
      <w:r w:rsidRPr="003A4DEA">
        <w:t>Where you do not have a full-time version of the part-time course, you should choose the duration that the full</w:t>
      </w:r>
      <w:r w:rsidR="005D7D37">
        <w:t>-</w:t>
      </w:r>
      <w:r w:rsidRPr="003A4DEA">
        <w:t>time course would be (if there were one).</w:t>
      </w:r>
    </w:p>
    <w:p w14:paraId="0560472E" w14:textId="77777777" w:rsidR="0078532B" w:rsidRDefault="0078532B" w:rsidP="0078532B">
      <w:pPr>
        <w:pStyle w:val="Body12pt"/>
      </w:pPr>
    </w:p>
    <w:p w14:paraId="246451CD" w14:textId="66DD9A05" w:rsidR="003A4DEA" w:rsidRDefault="003A4DEA" w:rsidP="003A4DEA">
      <w:pPr>
        <w:pStyle w:val="Body12pt"/>
        <w:numPr>
          <w:ilvl w:val="0"/>
          <w:numId w:val="27"/>
        </w:numPr>
      </w:pPr>
      <w:r w:rsidRPr="003A4DEA">
        <w:rPr>
          <w:b/>
          <w:bCs/>
        </w:rPr>
        <w:t>1 Year</w:t>
      </w:r>
      <w:r>
        <w:t xml:space="preserve"> -</w:t>
      </w:r>
      <w:r w:rsidRPr="003A4DEA">
        <w:t xml:space="preserve"> </w:t>
      </w:r>
      <w:proofErr w:type="spellStart"/>
      <w:r w:rsidRPr="003A4DEA">
        <w:t>CertHE</w:t>
      </w:r>
      <w:proofErr w:type="spellEnd"/>
      <w:r w:rsidRPr="003A4DEA">
        <w:t xml:space="preserve"> HNC Honours Degree (1 Year Top-Up or 1 Year Intercalation) PGCE </w:t>
      </w:r>
    </w:p>
    <w:p w14:paraId="7FB41990" w14:textId="3B5F3C78" w:rsidR="003A4DEA" w:rsidRDefault="003A4DEA" w:rsidP="003A4DEA">
      <w:pPr>
        <w:pStyle w:val="Body12pt"/>
        <w:numPr>
          <w:ilvl w:val="0"/>
          <w:numId w:val="27"/>
        </w:numPr>
      </w:pPr>
      <w:r w:rsidRPr="003A4DEA">
        <w:rPr>
          <w:b/>
          <w:bCs/>
        </w:rPr>
        <w:t>2 Year</w:t>
      </w:r>
      <w:r>
        <w:t xml:space="preserve"> -</w:t>
      </w:r>
      <w:r w:rsidRPr="003A4DEA">
        <w:t xml:space="preserve"> DipHE HND Foundation Degree Honours Degree (2 Year Top-Up or Accelerated) </w:t>
      </w:r>
    </w:p>
    <w:p w14:paraId="7AF239C8" w14:textId="3671B9FE" w:rsidR="003A4DEA" w:rsidRDefault="003A4DEA" w:rsidP="003A4DEA">
      <w:pPr>
        <w:pStyle w:val="Body12pt"/>
        <w:numPr>
          <w:ilvl w:val="0"/>
          <w:numId w:val="27"/>
        </w:numPr>
      </w:pPr>
      <w:r w:rsidRPr="003A4DEA">
        <w:rPr>
          <w:b/>
          <w:bCs/>
        </w:rPr>
        <w:t>3 Year</w:t>
      </w:r>
      <w:r>
        <w:t xml:space="preserve"> -</w:t>
      </w:r>
      <w:r w:rsidRPr="003A4DEA">
        <w:t xml:space="preserve"> Ordinary Degree Honours Degree (Full Course) </w:t>
      </w:r>
    </w:p>
    <w:p w14:paraId="3E5EFCC6" w14:textId="4767CA7E" w:rsidR="003A4DEA" w:rsidRDefault="003A4DEA" w:rsidP="003A4DEA">
      <w:pPr>
        <w:pStyle w:val="Body12pt"/>
        <w:numPr>
          <w:ilvl w:val="0"/>
          <w:numId w:val="27"/>
        </w:numPr>
      </w:pPr>
      <w:r w:rsidRPr="003A4DEA">
        <w:rPr>
          <w:b/>
          <w:bCs/>
        </w:rPr>
        <w:t>4 Year</w:t>
      </w:r>
      <w:r>
        <w:t xml:space="preserve"> -</w:t>
      </w:r>
      <w:r w:rsidRPr="003A4DEA">
        <w:t xml:space="preserve"> Honours Degree (With Integral Foundation Year or With Integral Placement Year or With Study Abroad Year) Integrated </w:t>
      </w:r>
      <w:proofErr w:type="spellStart"/>
      <w:proofErr w:type="gramStart"/>
      <w:r w:rsidRPr="003A4DEA">
        <w:t>Masters</w:t>
      </w:r>
      <w:proofErr w:type="spellEnd"/>
      <w:r w:rsidRPr="003A4DEA">
        <w:t xml:space="preserve"> Degree</w:t>
      </w:r>
      <w:proofErr w:type="gramEnd"/>
      <w:r w:rsidRPr="003A4DEA">
        <w:t xml:space="preserve"> </w:t>
      </w:r>
    </w:p>
    <w:p w14:paraId="31583102" w14:textId="1083136E" w:rsidR="003A4DEA" w:rsidRDefault="003A4DEA" w:rsidP="003A4DEA">
      <w:pPr>
        <w:pStyle w:val="Body12pt"/>
        <w:numPr>
          <w:ilvl w:val="0"/>
          <w:numId w:val="27"/>
        </w:numPr>
      </w:pPr>
      <w:r w:rsidRPr="003A4DEA">
        <w:rPr>
          <w:b/>
          <w:bCs/>
        </w:rPr>
        <w:t>5 Year</w:t>
      </w:r>
      <w:r>
        <w:t xml:space="preserve"> -</w:t>
      </w:r>
      <w:r w:rsidRPr="003A4DEA">
        <w:t xml:space="preserve"> Honours Degree (With Integral Foundation Year And either Integral Placement Year or Study Abroad Year)</w:t>
      </w:r>
    </w:p>
    <w:p w14:paraId="2FEDD238" w14:textId="77777777" w:rsidR="003A4DEA" w:rsidRDefault="003A4DEA" w:rsidP="003A4DEA">
      <w:pPr>
        <w:pStyle w:val="Body12pt"/>
      </w:pPr>
    </w:p>
    <w:p w14:paraId="74C4E63B" w14:textId="77777777" w:rsidR="003A4DEA" w:rsidRDefault="003A4DEA" w:rsidP="003A4DEA">
      <w:pPr>
        <w:pStyle w:val="HeaderGreen"/>
      </w:pPr>
    </w:p>
    <w:p w14:paraId="571A07E3" w14:textId="77777777" w:rsidR="003A4DEA" w:rsidRDefault="003A4DEA" w:rsidP="003A4DEA">
      <w:pPr>
        <w:pStyle w:val="HeaderGreen"/>
      </w:pPr>
    </w:p>
    <w:p w14:paraId="47092057" w14:textId="77777777" w:rsidR="003A4DEA" w:rsidRDefault="003A4DEA" w:rsidP="003A4DEA">
      <w:pPr>
        <w:pStyle w:val="HeaderGreen"/>
      </w:pPr>
    </w:p>
    <w:p w14:paraId="2D40E6C1" w14:textId="77777777" w:rsidR="003A4DEA" w:rsidRDefault="003A4DEA" w:rsidP="003A4DEA">
      <w:pPr>
        <w:pStyle w:val="HeaderGreen"/>
      </w:pPr>
    </w:p>
    <w:p w14:paraId="21B3E9B5" w14:textId="3735B956" w:rsidR="003A4DEA" w:rsidRDefault="003A4DEA" w:rsidP="003A4DEA">
      <w:pPr>
        <w:pStyle w:val="HeaderGreen"/>
      </w:pPr>
      <w:r w:rsidRPr="003A4DEA">
        <w:lastRenderedPageBreak/>
        <w:t>Part</w:t>
      </w:r>
      <w:r w:rsidR="007B3BA5">
        <w:t xml:space="preserve"> t</w:t>
      </w:r>
      <w:r w:rsidRPr="003A4DEA">
        <w:t xml:space="preserve">ime </w:t>
      </w:r>
      <w:r w:rsidR="007B3BA5">
        <w:t>c</w:t>
      </w:r>
      <w:r w:rsidRPr="003A4DEA">
        <w:t xml:space="preserve">redit </w:t>
      </w:r>
      <w:r w:rsidR="007B3BA5">
        <w:t>v</w:t>
      </w:r>
      <w:r w:rsidRPr="003A4DEA">
        <w:t>alue</w:t>
      </w:r>
    </w:p>
    <w:p w14:paraId="33AFDF3E" w14:textId="77777777" w:rsidR="003A4DEA" w:rsidRDefault="003A4DEA" w:rsidP="003A4DEA">
      <w:pPr>
        <w:pStyle w:val="HeaderGreen"/>
      </w:pPr>
    </w:p>
    <w:p w14:paraId="7DE7D349" w14:textId="26DB7F37" w:rsidR="003A4DEA" w:rsidRDefault="003A4DEA" w:rsidP="003A4DEA">
      <w:pPr>
        <w:pStyle w:val="Body12pt"/>
      </w:pPr>
      <w:r>
        <w:t xml:space="preserve">• To allow SLC to accurately assess a student’s eligibility for Part-Time Maintenance Loan funding, we require you to </w:t>
      </w:r>
      <w:r w:rsidRPr="003A4DEA">
        <w:rPr>
          <w:b/>
          <w:bCs/>
        </w:rPr>
        <w:t xml:space="preserve">enter the number of credits the students achieve on </w:t>
      </w:r>
      <w:r w:rsidRPr="003A4DEA">
        <w:rPr>
          <w:b/>
          <w:bCs/>
          <w:u w:val="single"/>
        </w:rPr>
        <w:t>completion of the entire course.</w:t>
      </w:r>
      <w:r>
        <w:t xml:space="preserve"> </w:t>
      </w:r>
      <w:r>
        <w:br/>
      </w:r>
    </w:p>
    <w:p w14:paraId="41A18A9C" w14:textId="4DAC314E" w:rsidR="003A4DEA" w:rsidRDefault="003A4DEA" w:rsidP="003A4DEA">
      <w:pPr>
        <w:pStyle w:val="Body12pt"/>
      </w:pPr>
      <w:r>
        <w:t xml:space="preserve">• </w:t>
      </w:r>
      <w:r w:rsidRPr="003A4DEA">
        <w:rPr>
          <w:b/>
          <w:bCs/>
        </w:rPr>
        <w:t>You should not</w:t>
      </w:r>
      <w:r>
        <w:t xml:space="preserve"> enter the number of credits achieved in an individual academic year.</w:t>
      </w:r>
      <w:r>
        <w:br/>
      </w:r>
    </w:p>
    <w:p w14:paraId="552DE6E1" w14:textId="6E8FCA1A" w:rsidR="003A4DEA" w:rsidRDefault="003A4DEA" w:rsidP="003A4DEA">
      <w:pPr>
        <w:pStyle w:val="Body12pt"/>
      </w:pPr>
      <w:r>
        <w:t xml:space="preserve">• A year of </w:t>
      </w:r>
      <w:r w:rsidR="005D7D37">
        <w:t>f</w:t>
      </w:r>
      <w:r>
        <w:t>ull-</w:t>
      </w:r>
      <w:r w:rsidR="005D7D37">
        <w:t>t</w:t>
      </w:r>
      <w:r>
        <w:t>ime study generally equates to 120 Credits. This is not always the case and the information you submit must be correct for the individual course as it will be used to assess the student’s eligibility and entitlement.</w:t>
      </w:r>
      <w:r>
        <w:br/>
      </w:r>
    </w:p>
    <w:p w14:paraId="07F7DAD1" w14:textId="5CFF21E6" w:rsidR="003A4DEA" w:rsidRDefault="003A4DEA" w:rsidP="003A4DEA">
      <w:pPr>
        <w:pStyle w:val="Body12pt"/>
      </w:pPr>
      <w:r>
        <w:t>• More detailed guidance is available on the HEP Services website.</w:t>
      </w:r>
    </w:p>
    <w:p w14:paraId="18B8A7F4" w14:textId="77777777" w:rsidR="003A4DEA" w:rsidRDefault="003A4DEA" w:rsidP="003A4DEA">
      <w:pPr>
        <w:pStyle w:val="Body12pt"/>
      </w:pPr>
    </w:p>
    <w:p w14:paraId="2301704E" w14:textId="1A6EF52E" w:rsidR="003A4DEA" w:rsidRDefault="003A4DEA" w:rsidP="003A4DEA">
      <w:pPr>
        <w:pStyle w:val="HeaderGreen"/>
      </w:pPr>
      <w:r w:rsidRPr="003A4DEA">
        <w:t xml:space="preserve">Postgraduate Masters Loans by </w:t>
      </w:r>
      <w:r w:rsidR="005D7D37">
        <w:t>d</w:t>
      </w:r>
      <w:r w:rsidRPr="003A4DEA">
        <w:t>omicile</w:t>
      </w:r>
    </w:p>
    <w:p w14:paraId="03B55619" w14:textId="77777777" w:rsidR="003A4DEA" w:rsidRDefault="003A4DEA" w:rsidP="003A4DEA">
      <w:pPr>
        <w:pStyle w:val="HeaderGreen"/>
      </w:pPr>
    </w:p>
    <w:p w14:paraId="54F76ED8" w14:textId="1931DEB2" w:rsidR="003A4DEA" w:rsidRDefault="003A4DEA" w:rsidP="003A4DEA">
      <w:pPr>
        <w:pStyle w:val="Body12ptBold"/>
      </w:pPr>
      <w:r>
        <w:t>Postgraduate Masters</w:t>
      </w:r>
    </w:p>
    <w:p w14:paraId="213C5F07" w14:textId="77777777" w:rsidR="003A4DEA" w:rsidRDefault="003A4DEA" w:rsidP="003A4DEA">
      <w:pPr>
        <w:pStyle w:val="Body12ptBold"/>
      </w:pPr>
    </w:p>
    <w:p w14:paraId="5ADAA1AE" w14:textId="45A159CE" w:rsidR="003A4DEA" w:rsidRPr="003A4DEA" w:rsidRDefault="003A4DEA" w:rsidP="003A4DEA">
      <w:pPr>
        <w:pStyle w:val="Body12ptBold"/>
        <w:numPr>
          <w:ilvl w:val="0"/>
          <w:numId w:val="28"/>
        </w:numPr>
        <w:rPr>
          <w:b w:val="0"/>
          <w:bCs w:val="0"/>
        </w:rPr>
      </w:pPr>
      <w:r w:rsidRPr="003A4DEA">
        <w:rPr>
          <w:b w:val="0"/>
          <w:bCs w:val="0"/>
        </w:rPr>
        <w:t>England</w:t>
      </w:r>
      <w:r>
        <w:rPr>
          <w:b w:val="0"/>
          <w:bCs w:val="0"/>
        </w:rPr>
        <w:t xml:space="preserve"> -</w:t>
      </w:r>
      <w:r w:rsidRPr="003A4DEA">
        <w:rPr>
          <w:b w:val="0"/>
          <w:bCs w:val="0"/>
        </w:rPr>
        <w:t xml:space="preserve"> </w:t>
      </w:r>
      <w:r w:rsidR="005D7D37">
        <w:rPr>
          <w:b w:val="0"/>
          <w:bCs w:val="0"/>
        </w:rPr>
        <w:t>l</w:t>
      </w:r>
      <w:r w:rsidRPr="003A4DEA">
        <w:rPr>
          <w:b w:val="0"/>
          <w:bCs w:val="0"/>
        </w:rPr>
        <w:t>oan to</w:t>
      </w:r>
      <w:r w:rsidR="005D7D37">
        <w:rPr>
          <w:b w:val="0"/>
          <w:bCs w:val="0"/>
        </w:rPr>
        <w:t xml:space="preserve"> s</w:t>
      </w:r>
      <w:r w:rsidRPr="003A4DEA">
        <w:rPr>
          <w:b w:val="0"/>
          <w:bCs w:val="0"/>
        </w:rPr>
        <w:t>tudent</w:t>
      </w:r>
    </w:p>
    <w:p w14:paraId="2F36B22F" w14:textId="45A16DA7" w:rsidR="003A4DEA" w:rsidRPr="003A4DEA" w:rsidRDefault="003A4DEA" w:rsidP="003A4DEA">
      <w:pPr>
        <w:pStyle w:val="Body12ptBold"/>
        <w:numPr>
          <w:ilvl w:val="0"/>
          <w:numId w:val="28"/>
        </w:numPr>
        <w:rPr>
          <w:b w:val="0"/>
          <w:bCs w:val="0"/>
        </w:rPr>
      </w:pPr>
      <w:r w:rsidRPr="003A4DEA">
        <w:rPr>
          <w:b w:val="0"/>
          <w:bCs w:val="0"/>
        </w:rPr>
        <w:t>Wales</w:t>
      </w:r>
      <w:r>
        <w:rPr>
          <w:b w:val="0"/>
          <w:bCs w:val="0"/>
        </w:rPr>
        <w:t xml:space="preserve"> -</w:t>
      </w:r>
      <w:r w:rsidRPr="003A4DEA">
        <w:rPr>
          <w:b w:val="0"/>
          <w:bCs w:val="0"/>
        </w:rPr>
        <w:t xml:space="preserve"> </w:t>
      </w:r>
      <w:r w:rsidR="005D7D37">
        <w:rPr>
          <w:b w:val="0"/>
          <w:bCs w:val="0"/>
        </w:rPr>
        <w:t>l</w:t>
      </w:r>
      <w:r w:rsidRPr="003A4DEA">
        <w:rPr>
          <w:b w:val="0"/>
          <w:bCs w:val="0"/>
        </w:rPr>
        <w:t xml:space="preserve">oan </w:t>
      </w:r>
      <w:r w:rsidR="005D7D37">
        <w:rPr>
          <w:b w:val="0"/>
          <w:bCs w:val="0"/>
        </w:rPr>
        <w:t>and</w:t>
      </w:r>
      <w:r w:rsidRPr="003A4DEA">
        <w:rPr>
          <w:b w:val="0"/>
          <w:bCs w:val="0"/>
        </w:rPr>
        <w:t xml:space="preserve"> </w:t>
      </w:r>
      <w:r w:rsidR="005D7D37">
        <w:rPr>
          <w:b w:val="0"/>
          <w:bCs w:val="0"/>
        </w:rPr>
        <w:t>g</w:t>
      </w:r>
      <w:r w:rsidRPr="003A4DEA">
        <w:rPr>
          <w:b w:val="0"/>
          <w:bCs w:val="0"/>
        </w:rPr>
        <w:t xml:space="preserve">rant to </w:t>
      </w:r>
      <w:r w:rsidR="005D7D37">
        <w:rPr>
          <w:b w:val="0"/>
          <w:bCs w:val="0"/>
        </w:rPr>
        <w:t>s</w:t>
      </w:r>
      <w:r w:rsidRPr="003A4DEA">
        <w:rPr>
          <w:b w:val="0"/>
          <w:bCs w:val="0"/>
        </w:rPr>
        <w:t>tudent</w:t>
      </w:r>
    </w:p>
    <w:p w14:paraId="23983B78" w14:textId="3FEDCE09" w:rsidR="003A4DEA" w:rsidRPr="003A4DEA" w:rsidRDefault="003A4DEA" w:rsidP="003A4DEA">
      <w:pPr>
        <w:pStyle w:val="Body12ptBold"/>
        <w:numPr>
          <w:ilvl w:val="0"/>
          <w:numId w:val="28"/>
        </w:numPr>
        <w:rPr>
          <w:b w:val="0"/>
          <w:bCs w:val="0"/>
        </w:rPr>
      </w:pPr>
      <w:r w:rsidRPr="003A4DEA">
        <w:rPr>
          <w:b w:val="0"/>
          <w:bCs w:val="0"/>
        </w:rPr>
        <w:t xml:space="preserve">Northern Ireland </w:t>
      </w:r>
      <w:r>
        <w:rPr>
          <w:b w:val="0"/>
          <w:bCs w:val="0"/>
        </w:rPr>
        <w:t xml:space="preserve">- </w:t>
      </w:r>
      <w:r w:rsidR="005D7D37">
        <w:rPr>
          <w:b w:val="0"/>
          <w:bCs w:val="0"/>
        </w:rPr>
        <w:t>t</w:t>
      </w:r>
      <w:r w:rsidRPr="003A4DEA">
        <w:rPr>
          <w:b w:val="0"/>
          <w:bCs w:val="0"/>
        </w:rPr>
        <w:t xml:space="preserve">uition </w:t>
      </w:r>
      <w:r w:rsidR="005D7D37">
        <w:rPr>
          <w:b w:val="0"/>
          <w:bCs w:val="0"/>
        </w:rPr>
        <w:t>f</w:t>
      </w:r>
      <w:r w:rsidRPr="003A4DEA">
        <w:rPr>
          <w:b w:val="0"/>
          <w:bCs w:val="0"/>
        </w:rPr>
        <w:t>ee</w:t>
      </w:r>
    </w:p>
    <w:p w14:paraId="06CDB4B5" w14:textId="1587C831" w:rsidR="003A4DEA" w:rsidRDefault="003A4DEA" w:rsidP="003A4DEA">
      <w:pPr>
        <w:pStyle w:val="Body12ptBold"/>
        <w:numPr>
          <w:ilvl w:val="0"/>
          <w:numId w:val="28"/>
        </w:numPr>
        <w:rPr>
          <w:b w:val="0"/>
          <w:bCs w:val="0"/>
        </w:rPr>
      </w:pPr>
      <w:r w:rsidRPr="003A4DEA">
        <w:rPr>
          <w:b w:val="0"/>
          <w:bCs w:val="0"/>
        </w:rPr>
        <w:t xml:space="preserve">Scotland </w:t>
      </w:r>
      <w:r>
        <w:rPr>
          <w:b w:val="0"/>
          <w:bCs w:val="0"/>
        </w:rPr>
        <w:t xml:space="preserve">- </w:t>
      </w:r>
      <w:r w:rsidR="005D7D37">
        <w:rPr>
          <w:b w:val="0"/>
          <w:bCs w:val="0"/>
        </w:rPr>
        <w:t>t</w:t>
      </w:r>
      <w:r w:rsidRPr="003A4DEA">
        <w:rPr>
          <w:b w:val="0"/>
          <w:bCs w:val="0"/>
        </w:rPr>
        <w:t xml:space="preserve">uition </w:t>
      </w:r>
      <w:r w:rsidR="005D7D37">
        <w:rPr>
          <w:b w:val="0"/>
          <w:bCs w:val="0"/>
        </w:rPr>
        <w:t>f</w:t>
      </w:r>
      <w:r w:rsidRPr="003A4DEA">
        <w:rPr>
          <w:b w:val="0"/>
          <w:bCs w:val="0"/>
        </w:rPr>
        <w:t xml:space="preserve">ee </w:t>
      </w:r>
      <w:r w:rsidR="005D7D37">
        <w:rPr>
          <w:b w:val="0"/>
          <w:bCs w:val="0"/>
        </w:rPr>
        <w:t>and</w:t>
      </w:r>
      <w:r w:rsidRPr="003A4DEA">
        <w:rPr>
          <w:b w:val="0"/>
          <w:bCs w:val="0"/>
        </w:rPr>
        <w:t xml:space="preserve"> </w:t>
      </w:r>
      <w:r w:rsidR="005D7D37">
        <w:rPr>
          <w:b w:val="0"/>
          <w:bCs w:val="0"/>
        </w:rPr>
        <w:t>l</w:t>
      </w:r>
      <w:r w:rsidRPr="003A4DEA">
        <w:rPr>
          <w:b w:val="0"/>
          <w:bCs w:val="0"/>
        </w:rPr>
        <w:t>oan</w:t>
      </w:r>
    </w:p>
    <w:p w14:paraId="53D1D9C5" w14:textId="77777777" w:rsidR="003A4DEA" w:rsidRDefault="003A4DEA" w:rsidP="003A4DEA">
      <w:pPr>
        <w:pStyle w:val="Body12ptBold"/>
        <w:rPr>
          <w:b w:val="0"/>
          <w:bCs w:val="0"/>
        </w:rPr>
      </w:pPr>
    </w:p>
    <w:p w14:paraId="33031113" w14:textId="77777777" w:rsidR="003A4DEA" w:rsidRDefault="003A4DEA" w:rsidP="003A4DEA">
      <w:pPr>
        <w:pStyle w:val="HeaderGreen"/>
      </w:pPr>
    </w:p>
    <w:p w14:paraId="424A2433" w14:textId="77777777" w:rsidR="003A4DEA" w:rsidRDefault="003A4DEA" w:rsidP="003A4DEA">
      <w:pPr>
        <w:pStyle w:val="HeaderGreen"/>
      </w:pPr>
    </w:p>
    <w:p w14:paraId="1F338708" w14:textId="77777777" w:rsidR="003A4DEA" w:rsidRDefault="003A4DEA" w:rsidP="003A4DEA">
      <w:pPr>
        <w:pStyle w:val="HeaderGreen"/>
      </w:pPr>
    </w:p>
    <w:p w14:paraId="45E7262F" w14:textId="77777777" w:rsidR="003A4DEA" w:rsidRDefault="003A4DEA" w:rsidP="003A4DEA">
      <w:pPr>
        <w:pStyle w:val="HeaderGreen"/>
      </w:pPr>
    </w:p>
    <w:p w14:paraId="4700A15F" w14:textId="77777777" w:rsidR="003A4DEA" w:rsidRDefault="003A4DEA" w:rsidP="003A4DEA">
      <w:pPr>
        <w:pStyle w:val="HeaderGreen"/>
      </w:pPr>
    </w:p>
    <w:p w14:paraId="6FD8FCE7" w14:textId="77777777" w:rsidR="003A4DEA" w:rsidRDefault="003A4DEA" w:rsidP="003A4DEA">
      <w:pPr>
        <w:pStyle w:val="HeaderGreen"/>
      </w:pPr>
    </w:p>
    <w:p w14:paraId="6B3C614A" w14:textId="116F551C" w:rsidR="003A4DEA" w:rsidRDefault="003A4DEA" w:rsidP="003A4DEA">
      <w:pPr>
        <w:pStyle w:val="HeaderGreen"/>
      </w:pPr>
      <w:r w:rsidRPr="003A4DEA">
        <w:lastRenderedPageBreak/>
        <w:t xml:space="preserve">England </w:t>
      </w:r>
      <w:r w:rsidR="007B3BA5">
        <w:t>and</w:t>
      </w:r>
      <w:r w:rsidRPr="003A4DEA">
        <w:t xml:space="preserve"> Wales</w:t>
      </w:r>
    </w:p>
    <w:p w14:paraId="2524B8D1" w14:textId="77777777" w:rsidR="003A4DEA" w:rsidRDefault="003A4DEA" w:rsidP="003A4DEA">
      <w:pPr>
        <w:pStyle w:val="HeaderGreen"/>
      </w:pPr>
    </w:p>
    <w:p w14:paraId="0CA4645D" w14:textId="77777777" w:rsidR="003A4DEA" w:rsidRDefault="003A4DEA" w:rsidP="003A4DEA">
      <w:pPr>
        <w:pStyle w:val="Body12pt"/>
      </w:pPr>
      <w:r w:rsidRPr="003A4DEA">
        <w:rPr>
          <w:b/>
          <w:bCs/>
        </w:rPr>
        <w:t>Designation</w:t>
      </w:r>
      <w:r w:rsidRPr="003A4DEA">
        <w:t xml:space="preserve">: </w:t>
      </w:r>
    </w:p>
    <w:p w14:paraId="4EE256C1" w14:textId="77777777" w:rsidR="003A4DEA" w:rsidRDefault="003A4DEA" w:rsidP="003A4DEA">
      <w:pPr>
        <w:pStyle w:val="Body12pt"/>
      </w:pPr>
    </w:p>
    <w:p w14:paraId="66641E18" w14:textId="7D488D2A" w:rsidR="003A4DEA" w:rsidRDefault="003A4DEA" w:rsidP="003A4DEA">
      <w:pPr>
        <w:pStyle w:val="Body12pt"/>
        <w:numPr>
          <w:ilvl w:val="0"/>
          <w:numId w:val="29"/>
        </w:numPr>
      </w:pPr>
      <w:r w:rsidRPr="003A4DEA">
        <w:t xml:space="preserve">When you select the England/Wales radio button during the initial course set up the designation is automatically checked for both England </w:t>
      </w:r>
      <w:r w:rsidR="005D7D37">
        <w:t>and</w:t>
      </w:r>
      <w:r w:rsidRPr="003A4DEA">
        <w:t xml:space="preserve"> Wales</w:t>
      </w:r>
      <w:r>
        <w:t>.</w:t>
      </w:r>
    </w:p>
    <w:p w14:paraId="2FA60055" w14:textId="21A16909" w:rsidR="003A4DEA" w:rsidRDefault="003A4DEA" w:rsidP="003A4DEA">
      <w:pPr>
        <w:pStyle w:val="Body12pt"/>
        <w:numPr>
          <w:ilvl w:val="0"/>
          <w:numId w:val="29"/>
        </w:numPr>
      </w:pPr>
      <w:r w:rsidRPr="003A4DEA">
        <w:t>However, one can be unticked if you only want it designated for England or Wales</w:t>
      </w:r>
      <w:r>
        <w:t>.</w:t>
      </w:r>
    </w:p>
    <w:p w14:paraId="10C986FD" w14:textId="48474AD9" w:rsidR="003A4DEA" w:rsidRDefault="003A4DEA" w:rsidP="003A4DEA">
      <w:pPr>
        <w:pStyle w:val="Body12pt"/>
        <w:numPr>
          <w:ilvl w:val="0"/>
          <w:numId w:val="29"/>
        </w:numPr>
      </w:pPr>
      <w:r w:rsidRPr="003A4DEA">
        <w:t>Please remember to review these flags before saving the course to ensure that they are set up correctly where the policy differs</w:t>
      </w:r>
      <w:r>
        <w:t>.</w:t>
      </w:r>
    </w:p>
    <w:p w14:paraId="4C1A3036" w14:textId="77777777" w:rsidR="003A4DEA" w:rsidRDefault="003A4DEA" w:rsidP="003A4DEA">
      <w:pPr>
        <w:pStyle w:val="Body12pt"/>
      </w:pPr>
    </w:p>
    <w:p w14:paraId="4C7A2347" w14:textId="77777777" w:rsidR="003A4DEA" w:rsidRDefault="003A4DEA" w:rsidP="003A4DEA">
      <w:pPr>
        <w:pStyle w:val="Body12pt"/>
      </w:pPr>
      <w:r w:rsidRPr="003A4DEA">
        <w:rPr>
          <w:b/>
          <w:bCs/>
        </w:rPr>
        <w:t>Qualification</w:t>
      </w:r>
      <w:r w:rsidRPr="003A4DEA">
        <w:t>: Select ‘Research’ or ‘Taught’ Masters</w:t>
      </w:r>
    </w:p>
    <w:p w14:paraId="443459CF" w14:textId="77777777" w:rsidR="003A4DEA" w:rsidRDefault="003A4DEA" w:rsidP="003A4DEA">
      <w:pPr>
        <w:pStyle w:val="Body12pt"/>
      </w:pPr>
    </w:p>
    <w:p w14:paraId="53E18F4F" w14:textId="77777777" w:rsidR="003A4DEA" w:rsidRDefault="003A4DEA" w:rsidP="003A4DEA">
      <w:pPr>
        <w:pStyle w:val="Body12pt"/>
      </w:pPr>
      <w:r w:rsidRPr="003A4DEA">
        <w:rPr>
          <w:b/>
          <w:bCs/>
        </w:rPr>
        <w:t>Duration</w:t>
      </w:r>
      <w:r w:rsidRPr="003A4DEA">
        <w:t>: Please ensure that for PT courses, you select the right option depending on domicile</w:t>
      </w:r>
    </w:p>
    <w:p w14:paraId="322D6810" w14:textId="77777777" w:rsidR="003A4DEA" w:rsidRDefault="003A4DEA" w:rsidP="003A4DEA">
      <w:pPr>
        <w:pStyle w:val="Body12pt"/>
      </w:pPr>
    </w:p>
    <w:p w14:paraId="5C3DB254" w14:textId="6DDCDC5A" w:rsidR="003A4DEA" w:rsidRDefault="003A4DEA" w:rsidP="003A4DEA">
      <w:pPr>
        <w:pStyle w:val="Body12pt"/>
        <w:numPr>
          <w:ilvl w:val="0"/>
          <w:numId w:val="30"/>
        </w:numPr>
      </w:pPr>
      <w:r w:rsidRPr="003A4DEA">
        <w:t xml:space="preserve">In England, </w:t>
      </w:r>
      <w:r w:rsidR="005D7D37">
        <w:t>i</w:t>
      </w:r>
      <w:r w:rsidRPr="003A4DEA">
        <w:t>f you're offering part time versions of your full-time courses, students must be able to complete the part-time version in no more than twice the time it takes to complete the full-time equivalent. Otherwise, it cannot be a designated course</w:t>
      </w:r>
    </w:p>
    <w:p w14:paraId="03E9632B" w14:textId="77777777" w:rsidR="003A4DEA" w:rsidRDefault="003A4DEA" w:rsidP="003A4DEA">
      <w:pPr>
        <w:pStyle w:val="Body12pt"/>
      </w:pPr>
    </w:p>
    <w:p w14:paraId="3227F59C" w14:textId="556A4421" w:rsidR="003A4DEA" w:rsidRDefault="003A4DEA" w:rsidP="003A4DEA">
      <w:pPr>
        <w:pStyle w:val="Body12pt"/>
        <w:numPr>
          <w:ilvl w:val="0"/>
          <w:numId w:val="30"/>
        </w:numPr>
      </w:pPr>
      <w:r w:rsidRPr="003A4DEA">
        <w:t>For example, if you offer a 1-year full-time course part-time over 3 years, the 3-year part time version cannot be designated. You must not add non-designated courses to CMS</w:t>
      </w:r>
    </w:p>
    <w:p w14:paraId="0214FA10" w14:textId="77777777" w:rsidR="003A4DEA" w:rsidRDefault="003A4DEA" w:rsidP="003A4DEA">
      <w:pPr>
        <w:pStyle w:val="Body12pt"/>
      </w:pPr>
    </w:p>
    <w:p w14:paraId="7351993E" w14:textId="42062DB9" w:rsidR="003A4DEA" w:rsidRDefault="003A4DEA" w:rsidP="003A4DEA">
      <w:pPr>
        <w:pStyle w:val="Body12pt"/>
        <w:numPr>
          <w:ilvl w:val="0"/>
          <w:numId w:val="30"/>
        </w:numPr>
      </w:pPr>
      <w:r w:rsidRPr="003A4DEA">
        <w:t>In Wales this restriction does not apply, and part-time courses can be up to 4 years regardless of whether there is a full-time course or not</w:t>
      </w:r>
    </w:p>
    <w:p w14:paraId="4AC1F69D" w14:textId="77777777" w:rsidR="003A4DEA" w:rsidRDefault="003A4DEA" w:rsidP="003A4DEA">
      <w:pPr>
        <w:pStyle w:val="Body12pt"/>
      </w:pPr>
    </w:p>
    <w:tbl>
      <w:tblPr>
        <w:tblStyle w:val="SLCTable"/>
        <w:tblW w:w="0" w:type="auto"/>
        <w:tblLook w:val="04A0" w:firstRow="1" w:lastRow="0" w:firstColumn="1" w:lastColumn="0" w:noHBand="0" w:noVBand="1"/>
      </w:tblPr>
      <w:tblGrid>
        <w:gridCol w:w="6719"/>
        <w:gridCol w:w="6720"/>
      </w:tblGrid>
      <w:tr w:rsidR="003A4DEA" w14:paraId="3AA72465" w14:textId="77777777" w:rsidTr="003A4DEA">
        <w:trPr>
          <w:cnfStyle w:val="100000000000" w:firstRow="1" w:lastRow="0" w:firstColumn="0" w:lastColumn="0" w:oddVBand="0" w:evenVBand="0" w:oddHBand="0" w:evenHBand="0" w:firstRowFirstColumn="0" w:firstRowLastColumn="0" w:lastRowFirstColumn="0" w:lastRowLastColumn="0"/>
        </w:trPr>
        <w:tc>
          <w:tcPr>
            <w:tcW w:w="13439" w:type="dxa"/>
            <w:gridSpan w:val="2"/>
            <w:vAlign w:val="center"/>
          </w:tcPr>
          <w:p w14:paraId="6E367804" w14:textId="44C26CFF" w:rsidR="003A4DEA" w:rsidRDefault="003A4DEA" w:rsidP="003A4DEA">
            <w:pPr>
              <w:pStyle w:val="Body12pt"/>
              <w:jc w:val="center"/>
            </w:pPr>
            <w:r>
              <w:t>ENGLAND</w:t>
            </w:r>
          </w:p>
        </w:tc>
      </w:tr>
      <w:tr w:rsidR="003A4DEA" w14:paraId="7C7DD3C5" w14:textId="77777777" w:rsidTr="003A4DEA">
        <w:trPr>
          <w:cnfStyle w:val="000000100000" w:firstRow="0" w:lastRow="0" w:firstColumn="0" w:lastColumn="0" w:oddVBand="0" w:evenVBand="0" w:oddHBand="1" w:evenHBand="0" w:firstRowFirstColumn="0" w:firstRowLastColumn="0" w:lastRowFirstColumn="0" w:lastRowLastColumn="0"/>
        </w:trPr>
        <w:tc>
          <w:tcPr>
            <w:tcW w:w="6719" w:type="dxa"/>
          </w:tcPr>
          <w:p w14:paraId="392C02BF" w14:textId="6B83B041" w:rsidR="003A4DEA" w:rsidRDefault="003A4DEA" w:rsidP="003B4C6C">
            <w:pPr>
              <w:pStyle w:val="Body12pt"/>
              <w:jc w:val="center"/>
            </w:pPr>
            <w:r>
              <w:t>FT Version</w:t>
            </w:r>
          </w:p>
        </w:tc>
        <w:tc>
          <w:tcPr>
            <w:tcW w:w="6720" w:type="dxa"/>
          </w:tcPr>
          <w:p w14:paraId="68721ADF" w14:textId="42CAC02C" w:rsidR="003A4DEA" w:rsidRDefault="003A4DEA" w:rsidP="003B4C6C">
            <w:pPr>
              <w:pStyle w:val="Body12pt"/>
              <w:jc w:val="center"/>
            </w:pPr>
            <w:r>
              <w:t>PT Version</w:t>
            </w:r>
          </w:p>
        </w:tc>
      </w:tr>
      <w:tr w:rsidR="003A4DEA" w14:paraId="623B0C20" w14:textId="77777777" w:rsidTr="003A4DEA">
        <w:trPr>
          <w:cnfStyle w:val="000000010000" w:firstRow="0" w:lastRow="0" w:firstColumn="0" w:lastColumn="0" w:oddVBand="0" w:evenVBand="0" w:oddHBand="0" w:evenHBand="1" w:firstRowFirstColumn="0" w:firstRowLastColumn="0" w:lastRowFirstColumn="0" w:lastRowLastColumn="0"/>
        </w:trPr>
        <w:tc>
          <w:tcPr>
            <w:tcW w:w="6719" w:type="dxa"/>
          </w:tcPr>
          <w:p w14:paraId="023228F4" w14:textId="598FFFEE" w:rsidR="003A4DEA" w:rsidRDefault="003A4DEA" w:rsidP="003B4C6C">
            <w:pPr>
              <w:pStyle w:val="Body12pt"/>
              <w:jc w:val="center"/>
            </w:pPr>
            <w:r>
              <w:t>1 year</w:t>
            </w:r>
          </w:p>
        </w:tc>
        <w:tc>
          <w:tcPr>
            <w:tcW w:w="6720" w:type="dxa"/>
          </w:tcPr>
          <w:p w14:paraId="5959B9D5" w14:textId="318CE707" w:rsidR="003A4DEA" w:rsidRDefault="003A4DEA" w:rsidP="003B4C6C">
            <w:pPr>
              <w:pStyle w:val="Body12pt"/>
              <w:jc w:val="center"/>
            </w:pPr>
            <w:r>
              <w:t>1 year FTE</w:t>
            </w:r>
          </w:p>
        </w:tc>
      </w:tr>
      <w:tr w:rsidR="003A4DEA" w14:paraId="03A7BB98" w14:textId="77777777" w:rsidTr="003A4DEA">
        <w:trPr>
          <w:cnfStyle w:val="000000100000" w:firstRow="0" w:lastRow="0" w:firstColumn="0" w:lastColumn="0" w:oddVBand="0" w:evenVBand="0" w:oddHBand="1" w:evenHBand="0" w:firstRowFirstColumn="0" w:firstRowLastColumn="0" w:lastRowFirstColumn="0" w:lastRowLastColumn="0"/>
        </w:trPr>
        <w:tc>
          <w:tcPr>
            <w:tcW w:w="6719" w:type="dxa"/>
          </w:tcPr>
          <w:p w14:paraId="0E4D201D" w14:textId="428E8194" w:rsidR="003A4DEA" w:rsidRDefault="003A4DEA" w:rsidP="003B4C6C">
            <w:pPr>
              <w:pStyle w:val="Body12pt"/>
              <w:jc w:val="center"/>
            </w:pPr>
            <w:r>
              <w:t>2 years</w:t>
            </w:r>
          </w:p>
        </w:tc>
        <w:tc>
          <w:tcPr>
            <w:tcW w:w="6720" w:type="dxa"/>
          </w:tcPr>
          <w:p w14:paraId="3FD5AF02" w14:textId="7D44D197" w:rsidR="003A4DEA" w:rsidRDefault="003A4DEA" w:rsidP="003B4C6C">
            <w:pPr>
              <w:pStyle w:val="Body12pt"/>
              <w:jc w:val="center"/>
            </w:pPr>
            <w:r>
              <w:t>2 years FTE</w:t>
            </w:r>
          </w:p>
        </w:tc>
      </w:tr>
      <w:tr w:rsidR="003A4DEA" w14:paraId="08FC98E9" w14:textId="77777777" w:rsidTr="003A4DEA">
        <w:trPr>
          <w:cnfStyle w:val="000000010000" w:firstRow="0" w:lastRow="0" w:firstColumn="0" w:lastColumn="0" w:oddVBand="0" w:evenVBand="0" w:oddHBand="0" w:evenHBand="1" w:firstRowFirstColumn="0" w:firstRowLastColumn="0" w:lastRowFirstColumn="0" w:lastRowLastColumn="0"/>
        </w:trPr>
        <w:tc>
          <w:tcPr>
            <w:tcW w:w="6719" w:type="dxa"/>
          </w:tcPr>
          <w:p w14:paraId="54D45DDB" w14:textId="0131D87F" w:rsidR="003A4DEA" w:rsidRDefault="003A4DEA" w:rsidP="003B4C6C">
            <w:pPr>
              <w:pStyle w:val="Body12pt"/>
              <w:jc w:val="center"/>
            </w:pPr>
            <w:r>
              <w:t>No version</w:t>
            </w:r>
          </w:p>
        </w:tc>
        <w:tc>
          <w:tcPr>
            <w:tcW w:w="6720" w:type="dxa"/>
          </w:tcPr>
          <w:p w14:paraId="722177C4" w14:textId="024EA97E" w:rsidR="003A4DEA" w:rsidRDefault="003A4DEA" w:rsidP="003B4C6C">
            <w:pPr>
              <w:pStyle w:val="Body12pt"/>
              <w:jc w:val="center"/>
            </w:pPr>
            <w:r>
              <w:t>2 years NO FTE or 3 years NO FTE</w:t>
            </w:r>
          </w:p>
        </w:tc>
      </w:tr>
    </w:tbl>
    <w:p w14:paraId="73CBD469" w14:textId="77777777" w:rsidR="003A4DEA" w:rsidRPr="003A4DEA" w:rsidRDefault="003A4DEA" w:rsidP="003A4DEA">
      <w:pPr>
        <w:pStyle w:val="Body12pt"/>
      </w:pPr>
    </w:p>
    <w:tbl>
      <w:tblPr>
        <w:tblStyle w:val="SLCTable"/>
        <w:tblW w:w="0" w:type="auto"/>
        <w:tblLook w:val="04A0" w:firstRow="1" w:lastRow="0" w:firstColumn="1" w:lastColumn="0" w:noHBand="0" w:noVBand="1"/>
      </w:tblPr>
      <w:tblGrid>
        <w:gridCol w:w="13439"/>
      </w:tblGrid>
      <w:tr w:rsidR="003B4C6C" w14:paraId="62ACACC0" w14:textId="77777777" w:rsidTr="003B4C6C">
        <w:trPr>
          <w:cnfStyle w:val="100000000000" w:firstRow="1" w:lastRow="0" w:firstColumn="0" w:lastColumn="0" w:oddVBand="0" w:evenVBand="0" w:oddHBand="0" w:evenHBand="0" w:firstRowFirstColumn="0" w:firstRowLastColumn="0" w:lastRowFirstColumn="0" w:lastRowLastColumn="0"/>
        </w:trPr>
        <w:tc>
          <w:tcPr>
            <w:tcW w:w="13439" w:type="dxa"/>
          </w:tcPr>
          <w:p w14:paraId="1BA6A24A" w14:textId="08A5849C" w:rsidR="003B4C6C" w:rsidRDefault="003B4C6C" w:rsidP="003B4C6C">
            <w:pPr>
              <w:pStyle w:val="Body12pt"/>
              <w:jc w:val="center"/>
            </w:pPr>
            <w:r>
              <w:lastRenderedPageBreak/>
              <w:t>WALES</w:t>
            </w:r>
          </w:p>
        </w:tc>
      </w:tr>
      <w:tr w:rsidR="003B4C6C" w14:paraId="702BD8DC" w14:textId="77777777" w:rsidTr="003B4C6C">
        <w:trPr>
          <w:cnfStyle w:val="000000100000" w:firstRow="0" w:lastRow="0" w:firstColumn="0" w:lastColumn="0" w:oddVBand="0" w:evenVBand="0" w:oddHBand="1" w:evenHBand="0" w:firstRowFirstColumn="0" w:firstRowLastColumn="0" w:lastRowFirstColumn="0" w:lastRowLastColumn="0"/>
        </w:trPr>
        <w:tc>
          <w:tcPr>
            <w:tcW w:w="13439" w:type="dxa"/>
          </w:tcPr>
          <w:p w14:paraId="156C209D" w14:textId="171113D4" w:rsidR="003B4C6C" w:rsidRDefault="003B4C6C" w:rsidP="003B4C6C">
            <w:pPr>
              <w:pStyle w:val="Body12pt"/>
              <w:jc w:val="center"/>
            </w:pPr>
            <w:r>
              <w:t>PT Version</w:t>
            </w:r>
          </w:p>
        </w:tc>
      </w:tr>
      <w:tr w:rsidR="003B4C6C" w14:paraId="6545BB22" w14:textId="77777777" w:rsidTr="003B4C6C">
        <w:trPr>
          <w:cnfStyle w:val="000000010000" w:firstRow="0" w:lastRow="0" w:firstColumn="0" w:lastColumn="0" w:oddVBand="0" w:evenVBand="0" w:oddHBand="0" w:evenHBand="1" w:firstRowFirstColumn="0" w:firstRowLastColumn="0" w:lastRowFirstColumn="0" w:lastRowLastColumn="0"/>
        </w:trPr>
        <w:tc>
          <w:tcPr>
            <w:tcW w:w="13439" w:type="dxa"/>
          </w:tcPr>
          <w:p w14:paraId="5D2B681B" w14:textId="1BC0A192" w:rsidR="003B4C6C" w:rsidRDefault="003B4C6C" w:rsidP="003B4C6C">
            <w:pPr>
              <w:pStyle w:val="Body12pt"/>
              <w:jc w:val="center"/>
            </w:pPr>
            <w:r>
              <w:t>1 year NO FTE</w:t>
            </w:r>
          </w:p>
        </w:tc>
      </w:tr>
      <w:tr w:rsidR="003B4C6C" w14:paraId="2119E688" w14:textId="77777777" w:rsidTr="003B4C6C">
        <w:trPr>
          <w:cnfStyle w:val="000000100000" w:firstRow="0" w:lastRow="0" w:firstColumn="0" w:lastColumn="0" w:oddVBand="0" w:evenVBand="0" w:oddHBand="1" w:evenHBand="0" w:firstRowFirstColumn="0" w:firstRowLastColumn="0" w:lastRowFirstColumn="0" w:lastRowLastColumn="0"/>
        </w:trPr>
        <w:tc>
          <w:tcPr>
            <w:tcW w:w="13439" w:type="dxa"/>
          </w:tcPr>
          <w:p w14:paraId="3F28F3B3" w14:textId="7983F19D" w:rsidR="003B4C6C" w:rsidRDefault="003B4C6C" w:rsidP="003B4C6C">
            <w:pPr>
              <w:pStyle w:val="Body12pt"/>
              <w:jc w:val="center"/>
            </w:pPr>
            <w:r>
              <w:t>2 years NO FTE</w:t>
            </w:r>
          </w:p>
        </w:tc>
      </w:tr>
      <w:tr w:rsidR="003B4C6C" w14:paraId="17EC4BA5" w14:textId="77777777" w:rsidTr="003B4C6C">
        <w:trPr>
          <w:cnfStyle w:val="000000010000" w:firstRow="0" w:lastRow="0" w:firstColumn="0" w:lastColumn="0" w:oddVBand="0" w:evenVBand="0" w:oddHBand="0" w:evenHBand="1" w:firstRowFirstColumn="0" w:firstRowLastColumn="0" w:lastRowFirstColumn="0" w:lastRowLastColumn="0"/>
        </w:trPr>
        <w:tc>
          <w:tcPr>
            <w:tcW w:w="13439" w:type="dxa"/>
          </w:tcPr>
          <w:p w14:paraId="79ADB456" w14:textId="306F668A" w:rsidR="003B4C6C" w:rsidRDefault="003B4C6C" w:rsidP="003B4C6C">
            <w:pPr>
              <w:pStyle w:val="Body12pt"/>
              <w:jc w:val="center"/>
            </w:pPr>
            <w:r>
              <w:t>3 years No FTE</w:t>
            </w:r>
          </w:p>
        </w:tc>
      </w:tr>
      <w:tr w:rsidR="003B4C6C" w14:paraId="368FD921" w14:textId="77777777" w:rsidTr="003B4C6C">
        <w:trPr>
          <w:cnfStyle w:val="000000100000" w:firstRow="0" w:lastRow="0" w:firstColumn="0" w:lastColumn="0" w:oddVBand="0" w:evenVBand="0" w:oddHBand="1" w:evenHBand="0" w:firstRowFirstColumn="0" w:firstRowLastColumn="0" w:lastRowFirstColumn="0" w:lastRowLastColumn="0"/>
        </w:trPr>
        <w:tc>
          <w:tcPr>
            <w:tcW w:w="13439" w:type="dxa"/>
          </w:tcPr>
          <w:p w14:paraId="5F1EAAEB" w14:textId="3750CC85" w:rsidR="003B4C6C" w:rsidRDefault="003B4C6C" w:rsidP="003B4C6C">
            <w:pPr>
              <w:pStyle w:val="Body12pt"/>
              <w:jc w:val="center"/>
            </w:pPr>
            <w:r>
              <w:t>4 years No FTE</w:t>
            </w:r>
          </w:p>
        </w:tc>
      </w:tr>
    </w:tbl>
    <w:p w14:paraId="73A33737" w14:textId="77777777" w:rsidR="0078532B" w:rsidRDefault="0078532B" w:rsidP="0078532B">
      <w:pPr>
        <w:pStyle w:val="Body12pt"/>
      </w:pPr>
    </w:p>
    <w:p w14:paraId="6D840906" w14:textId="0CEF0850" w:rsidR="0078532B" w:rsidRDefault="003B4C6C" w:rsidP="003B4C6C">
      <w:pPr>
        <w:pStyle w:val="HeaderGreen"/>
      </w:pPr>
      <w:r w:rsidRPr="003B4C6C">
        <w:t>Best</w:t>
      </w:r>
      <w:r w:rsidR="007B3BA5">
        <w:t xml:space="preserve"> p</w:t>
      </w:r>
      <w:r w:rsidRPr="003B4C6C">
        <w:t>ractice</w:t>
      </w:r>
    </w:p>
    <w:p w14:paraId="37BDAA10" w14:textId="77777777" w:rsidR="003B4C6C" w:rsidRDefault="003B4C6C" w:rsidP="003B4C6C">
      <w:pPr>
        <w:pStyle w:val="HeaderGreen"/>
      </w:pPr>
    </w:p>
    <w:p w14:paraId="3E808CD2" w14:textId="77777777" w:rsidR="003B4C6C" w:rsidRDefault="003B4C6C" w:rsidP="003B4C6C">
      <w:pPr>
        <w:pStyle w:val="Body12pt"/>
        <w:numPr>
          <w:ilvl w:val="0"/>
          <w:numId w:val="31"/>
        </w:numPr>
      </w:pPr>
      <w:r w:rsidRPr="003B4C6C">
        <w:t>All courses with active students must be rolled over (saved) each academic year.</w:t>
      </w:r>
    </w:p>
    <w:p w14:paraId="7C457DCC" w14:textId="77777777" w:rsidR="003B4C6C" w:rsidRDefault="003B4C6C" w:rsidP="003B4C6C">
      <w:pPr>
        <w:pStyle w:val="Body12pt"/>
      </w:pPr>
    </w:p>
    <w:p w14:paraId="28E832B4" w14:textId="77777777" w:rsidR="003B4C6C" w:rsidRDefault="003B4C6C" w:rsidP="003B4C6C">
      <w:pPr>
        <w:pStyle w:val="Body12pt"/>
        <w:numPr>
          <w:ilvl w:val="0"/>
          <w:numId w:val="31"/>
        </w:numPr>
      </w:pPr>
      <w:r w:rsidRPr="003B4C6C">
        <w:t>Do not close a course. Students in England and Wales only apply once but the course must remain open and ‘saved’ for the duration of their studies.</w:t>
      </w:r>
    </w:p>
    <w:p w14:paraId="397AA4BB" w14:textId="77777777" w:rsidR="003B4C6C" w:rsidRDefault="003B4C6C" w:rsidP="003B4C6C">
      <w:pPr>
        <w:pStyle w:val="Body12pt"/>
      </w:pPr>
    </w:p>
    <w:p w14:paraId="5281E055" w14:textId="74300C5A" w:rsidR="003B4C6C" w:rsidRDefault="003B4C6C" w:rsidP="003B4C6C">
      <w:pPr>
        <w:pStyle w:val="Body12pt"/>
        <w:numPr>
          <w:ilvl w:val="0"/>
          <w:numId w:val="31"/>
        </w:numPr>
      </w:pPr>
      <w:r w:rsidRPr="003B4C6C">
        <w:t xml:space="preserve">If you no longer wish to offer this course to new students: Set the available course years to ‘No </w:t>
      </w:r>
      <w:proofErr w:type="gramStart"/>
      <w:r w:rsidRPr="003B4C6C">
        <w:t>students’</w:t>
      </w:r>
      <w:proofErr w:type="gramEnd"/>
      <w:r>
        <w:t xml:space="preserve">. </w:t>
      </w:r>
      <w:r w:rsidRPr="003B4C6C">
        <w:t>Students currently linked to that course will continue to receive PGL funding.</w:t>
      </w:r>
    </w:p>
    <w:p w14:paraId="09EB345F" w14:textId="77777777" w:rsidR="003B4C6C" w:rsidRDefault="003B4C6C" w:rsidP="003B4C6C">
      <w:pPr>
        <w:pStyle w:val="Body12pt"/>
      </w:pPr>
    </w:p>
    <w:p w14:paraId="12A6C778" w14:textId="3DACD3C3" w:rsidR="003B4C6C" w:rsidRDefault="003B4C6C" w:rsidP="003B4C6C">
      <w:pPr>
        <w:pStyle w:val="HeaderGreen"/>
      </w:pPr>
      <w:r w:rsidRPr="003B4C6C">
        <w:t>Domicile - Northern Ireland</w:t>
      </w:r>
    </w:p>
    <w:p w14:paraId="470A8BC3" w14:textId="77777777" w:rsidR="003B4C6C" w:rsidRDefault="003B4C6C" w:rsidP="003B4C6C">
      <w:pPr>
        <w:pStyle w:val="HeaderGreen"/>
      </w:pPr>
    </w:p>
    <w:p w14:paraId="6D3E7E3D" w14:textId="77777777" w:rsidR="003B4C6C" w:rsidRDefault="003B4C6C" w:rsidP="003B4C6C">
      <w:pPr>
        <w:pStyle w:val="Body12pt"/>
      </w:pPr>
      <w:r w:rsidRPr="003B4C6C">
        <w:rPr>
          <w:b/>
          <w:bCs/>
        </w:rPr>
        <w:t>Eligible qualifications</w:t>
      </w:r>
      <w:r w:rsidRPr="003B4C6C">
        <w:t xml:space="preserve">: </w:t>
      </w:r>
    </w:p>
    <w:p w14:paraId="2524D416" w14:textId="77777777" w:rsidR="003B4C6C" w:rsidRDefault="003B4C6C" w:rsidP="003B4C6C">
      <w:pPr>
        <w:pStyle w:val="Body12pt"/>
      </w:pPr>
    </w:p>
    <w:p w14:paraId="766CB098" w14:textId="77777777" w:rsidR="003B4C6C" w:rsidRDefault="003B4C6C" w:rsidP="003B4C6C">
      <w:pPr>
        <w:pStyle w:val="Body12pt"/>
      </w:pPr>
      <w:r w:rsidRPr="003B4C6C">
        <w:t>• Postgraduate Certificate (PgCert)</w:t>
      </w:r>
    </w:p>
    <w:p w14:paraId="2B5843E7" w14:textId="77777777" w:rsidR="003B4C6C" w:rsidRDefault="003B4C6C" w:rsidP="003B4C6C">
      <w:pPr>
        <w:pStyle w:val="Body12pt"/>
      </w:pPr>
      <w:r w:rsidRPr="003B4C6C">
        <w:t>• Postgraduate Diploma (</w:t>
      </w:r>
      <w:proofErr w:type="spellStart"/>
      <w:r w:rsidRPr="003B4C6C">
        <w:t>PgDip</w:t>
      </w:r>
      <w:proofErr w:type="spellEnd"/>
      <w:r w:rsidRPr="003B4C6C">
        <w:t>)</w:t>
      </w:r>
    </w:p>
    <w:p w14:paraId="6C4E211A" w14:textId="77777777" w:rsidR="003B4C6C" w:rsidRDefault="003B4C6C" w:rsidP="003B4C6C">
      <w:pPr>
        <w:pStyle w:val="Body12pt"/>
      </w:pPr>
      <w:r w:rsidRPr="003B4C6C">
        <w:t>• Postgraduate Masters (</w:t>
      </w:r>
      <w:proofErr w:type="spellStart"/>
      <w:r w:rsidRPr="003B4C6C">
        <w:t>PgM</w:t>
      </w:r>
      <w:proofErr w:type="spellEnd"/>
      <w:r w:rsidRPr="003B4C6C">
        <w:t>), Research or Taught</w:t>
      </w:r>
    </w:p>
    <w:p w14:paraId="448C5F0F" w14:textId="77777777" w:rsidR="003B4C6C" w:rsidRDefault="003B4C6C" w:rsidP="003B4C6C">
      <w:pPr>
        <w:pStyle w:val="Body12pt"/>
      </w:pPr>
    </w:p>
    <w:p w14:paraId="050D98C1" w14:textId="77777777" w:rsidR="003B4C6C" w:rsidRPr="003B4C6C" w:rsidRDefault="003B4C6C" w:rsidP="003B4C6C">
      <w:pPr>
        <w:pStyle w:val="Body12pt"/>
        <w:rPr>
          <w:b/>
          <w:bCs/>
        </w:rPr>
      </w:pPr>
      <w:r w:rsidRPr="003B4C6C">
        <w:rPr>
          <w:b/>
          <w:bCs/>
        </w:rPr>
        <w:t xml:space="preserve">Duration: </w:t>
      </w:r>
    </w:p>
    <w:p w14:paraId="6D4DE9A6" w14:textId="77777777" w:rsidR="003B4C6C" w:rsidRDefault="003B4C6C" w:rsidP="003B4C6C">
      <w:pPr>
        <w:pStyle w:val="Body12pt"/>
      </w:pPr>
    </w:p>
    <w:p w14:paraId="7799EE0C" w14:textId="5EC2C840" w:rsidR="003B4C6C" w:rsidRDefault="003B4C6C" w:rsidP="003B4C6C">
      <w:pPr>
        <w:pStyle w:val="Body12pt"/>
      </w:pPr>
      <w:r w:rsidRPr="003B4C6C">
        <w:t>Full-</w:t>
      </w:r>
      <w:r w:rsidR="005D7D37">
        <w:t>t</w:t>
      </w:r>
      <w:r w:rsidRPr="003B4C6C">
        <w:t xml:space="preserve">ime </w:t>
      </w:r>
      <w:r w:rsidR="005D7D37">
        <w:t>and p</w:t>
      </w:r>
      <w:r w:rsidRPr="003B4C6C">
        <w:t>art-</w:t>
      </w:r>
      <w:r w:rsidR="005D7D37">
        <w:t>t</w:t>
      </w:r>
      <w:r w:rsidRPr="003B4C6C">
        <w:t xml:space="preserve">ime courses with a duration of 1, 2 or 3 years. </w:t>
      </w:r>
    </w:p>
    <w:p w14:paraId="40F79913" w14:textId="77777777" w:rsidR="003B4C6C" w:rsidRDefault="003B4C6C" w:rsidP="003B4C6C">
      <w:pPr>
        <w:pStyle w:val="Body12pt"/>
      </w:pPr>
    </w:p>
    <w:p w14:paraId="3BC45D41" w14:textId="77777777" w:rsidR="003B4C6C" w:rsidRDefault="003B4C6C" w:rsidP="003B4C6C">
      <w:pPr>
        <w:pStyle w:val="Body12pt"/>
      </w:pPr>
      <w:r w:rsidRPr="003B4C6C">
        <w:rPr>
          <w:b/>
          <w:bCs/>
        </w:rPr>
        <w:lastRenderedPageBreak/>
        <w:t>Fees:</w:t>
      </w:r>
      <w:r w:rsidRPr="003B4C6C">
        <w:t xml:space="preserve"> </w:t>
      </w:r>
    </w:p>
    <w:p w14:paraId="13C72882" w14:textId="77777777" w:rsidR="003B4C6C" w:rsidRDefault="003B4C6C" w:rsidP="003B4C6C">
      <w:pPr>
        <w:pStyle w:val="Body12pt"/>
      </w:pPr>
    </w:p>
    <w:p w14:paraId="259B5D2B" w14:textId="6D21FFFA" w:rsidR="003B4C6C" w:rsidRDefault="003B4C6C" w:rsidP="003B4C6C">
      <w:pPr>
        <w:pStyle w:val="Body12pt"/>
      </w:pPr>
      <w:r w:rsidRPr="003B4C6C">
        <w:t xml:space="preserve">In Northern Ireland a PG Tuition Fee Loan up to £6,500 per course is paid to the </w:t>
      </w:r>
      <w:r w:rsidR="005D7D37">
        <w:t>p</w:t>
      </w:r>
      <w:r w:rsidRPr="003B4C6C">
        <w:t xml:space="preserve">rovider so you will need to add </w:t>
      </w:r>
      <w:r w:rsidR="005D7D37">
        <w:t>f</w:t>
      </w:r>
      <w:r w:rsidRPr="003B4C6C">
        <w:t xml:space="preserve">ees on CMS. </w:t>
      </w:r>
    </w:p>
    <w:p w14:paraId="66C33FC5" w14:textId="77777777" w:rsidR="003B4C6C" w:rsidRDefault="003B4C6C" w:rsidP="003B4C6C">
      <w:pPr>
        <w:pStyle w:val="Body12pt"/>
      </w:pPr>
    </w:p>
    <w:p w14:paraId="3A2BF1AD" w14:textId="699004E2" w:rsidR="003B4C6C" w:rsidRDefault="003B4C6C" w:rsidP="003B4C6C">
      <w:pPr>
        <w:pStyle w:val="Body12pt"/>
      </w:pPr>
      <w:r w:rsidRPr="003B4C6C">
        <w:t xml:space="preserve">From </w:t>
      </w:r>
      <w:r w:rsidR="00A31CD4">
        <w:t>academic year</w:t>
      </w:r>
      <w:r w:rsidRPr="003B4C6C">
        <w:t xml:space="preserve"> </w:t>
      </w:r>
      <w:r w:rsidR="00A31CD4">
        <w:t>20</w:t>
      </w:r>
      <w:r w:rsidRPr="003B4C6C">
        <w:t>24/25 the same funding package is available for NI students studying in ROI.</w:t>
      </w:r>
    </w:p>
    <w:p w14:paraId="1A7E550A" w14:textId="77777777" w:rsidR="003B4C6C" w:rsidRDefault="003B4C6C" w:rsidP="003B4C6C">
      <w:pPr>
        <w:pStyle w:val="Body12pt"/>
      </w:pPr>
    </w:p>
    <w:p w14:paraId="0BA59AD8" w14:textId="056BAFE2" w:rsidR="003B4C6C" w:rsidRDefault="003B4C6C" w:rsidP="003B4C6C">
      <w:pPr>
        <w:pStyle w:val="HeaderGreen"/>
      </w:pPr>
      <w:r w:rsidRPr="003B4C6C">
        <w:t xml:space="preserve">Domicile </w:t>
      </w:r>
      <w:r>
        <w:t>–</w:t>
      </w:r>
      <w:r w:rsidRPr="003B4C6C">
        <w:t xml:space="preserve"> Scotland</w:t>
      </w:r>
    </w:p>
    <w:p w14:paraId="40076A3C" w14:textId="77777777" w:rsidR="003B4C6C" w:rsidRDefault="003B4C6C" w:rsidP="003B4C6C">
      <w:pPr>
        <w:pStyle w:val="HeaderGreen"/>
      </w:pPr>
    </w:p>
    <w:p w14:paraId="19562097" w14:textId="77777777" w:rsidR="003B4C6C" w:rsidRPr="003B4C6C" w:rsidRDefault="003B4C6C" w:rsidP="003B4C6C">
      <w:pPr>
        <w:pStyle w:val="Body12pt"/>
        <w:rPr>
          <w:b/>
          <w:bCs/>
        </w:rPr>
      </w:pPr>
      <w:r w:rsidRPr="003B4C6C">
        <w:rPr>
          <w:b/>
          <w:bCs/>
        </w:rPr>
        <w:t>Eligible qualifications:</w:t>
      </w:r>
    </w:p>
    <w:p w14:paraId="35F82D80" w14:textId="77777777" w:rsidR="003B4C6C" w:rsidRDefault="003B4C6C" w:rsidP="003B4C6C">
      <w:pPr>
        <w:pStyle w:val="Body12pt"/>
      </w:pPr>
    </w:p>
    <w:p w14:paraId="182D0A70" w14:textId="68EE41BD" w:rsidR="003B4C6C" w:rsidRDefault="003B4C6C" w:rsidP="003B4C6C">
      <w:pPr>
        <w:pStyle w:val="Body12pt"/>
        <w:numPr>
          <w:ilvl w:val="0"/>
          <w:numId w:val="31"/>
        </w:numPr>
      </w:pPr>
      <w:r>
        <w:t>Postgraduate Diploma (</w:t>
      </w:r>
      <w:proofErr w:type="spellStart"/>
      <w:r>
        <w:t>PgDip</w:t>
      </w:r>
      <w:proofErr w:type="spellEnd"/>
      <w:r>
        <w:t>)</w:t>
      </w:r>
    </w:p>
    <w:p w14:paraId="12F62C67" w14:textId="03DEAB7B" w:rsidR="003B4C6C" w:rsidRDefault="003B4C6C" w:rsidP="003B4C6C">
      <w:pPr>
        <w:pStyle w:val="Body12pt"/>
        <w:numPr>
          <w:ilvl w:val="0"/>
          <w:numId w:val="31"/>
        </w:numPr>
      </w:pPr>
      <w:r>
        <w:t>Postgraduate Masters (</w:t>
      </w:r>
      <w:proofErr w:type="spellStart"/>
      <w:r>
        <w:t>PgM</w:t>
      </w:r>
      <w:proofErr w:type="spellEnd"/>
      <w:r>
        <w:t xml:space="preserve">) - </w:t>
      </w:r>
      <w:r w:rsidR="005D7D37">
        <w:t>r</w:t>
      </w:r>
      <w:r>
        <w:t>esearch</w:t>
      </w:r>
    </w:p>
    <w:p w14:paraId="09122A5D" w14:textId="1A25152D" w:rsidR="003B4C6C" w:rsidRDefault="003B4C6C" w:rsidP="003B4C6C">
      <w:pPr>
        <w:pStyle w:val="Body12pt"/>
        <w:numPr>
          <w:ilvl w:val="0"/>
          <w:numId w:val="31"/>
        </w:numPr>
      </w:pPr>
      <w:r>
        <w:t>Postgraduate Masters (</w:t>
      </w:r>
      <w:proofErr w:type="spellStart"/>
      <w:r>
        <w:t>PgM</w:t>
      </w:r>
      <w:proofErr w:type="spellEnd"/>
      <w:r>
        <w:t xml:space="preserve">) – </w:t>
      </w:r>
      <w:r w:rsidR="005D7D37">
        <w:t>t</w:t>
      </w:r>
      <w:r>
        <w:t>aught</w:t>
      </w:r>
    </w:p>
    <w:p w14:paraId="0179794B" w14:textId="77777777" w:rsidR="003B4C6C" w:rsidRDefault="003B4C6C" w:rsidP="003B4C6C">
      <w:pPr>
        <w:pStyle w:val="Body12pt"/>
      </w:pPr>
    </w:p>
    <w:p w14:paraId="18EFD514" w14:textId="2C2EF48F" w:rsidR="003B4C6C" w:rsidRPr="003B4C6C" w:rsidRDefault="003B4C6C" w:rsidP="003B4C6C">
      <w:pPr>
        <w:pStyle w:val="Body12pt"/>
        <w:rPr>
          <w:b/>
          <w:bCs/>
        </w:rPr>
      </w:pPr>
      <w:r w:rsidRPr="003B4C6C">
        <w:rPr>
          <w:b/>
          <w:bCs/>
        </w:rPr>
        <w:t>Duration:</w:t>
      </w:r>
      <w:r>
        <w:rPr>
          <w:b/>
          <w:bCs/>
        </w:rPr>
        <w:br/>
      </w:r>
    </w:p>
    <w:p w14:paraId="43CE28F2" w14:textId="72BD71FA" w:rsidR="003B4C6C" w:rsidRDefault="003B4C6C" w:rsidP="003B4C6C">
      <w:pPr>
        <w:pStyle w:val="Body12pt"/>
      </w:pPr>
      <w:r>
        <w:t>Postgraduate Diploma:</w:t>
      </w:r>
    </w:p>
    <w:p w14:paraId="5705AD18" w14:textId="6AE8290C" w:rsidR="003B4C6C" w:rsidRDefault="003B4C6C" w:rsidP="003B4C6C">
      <w:pPr>
        <w:pStyle w:val="Body12pt"/>
        <w:numPr>
          <w:ilvl w:val="0"/>
          <w:numId w:val="31"/>
        </w:numPr>
      </w:pPr>
      <w:r>
        <w:t>Full-</w:t>
      </w:r>
      <w:r w:rsidR="005D7D37">
        <w:t>t</w:t>
      </w:r>
      <w:r>
        <w:t>ime - 1 year</w:t>
      </w:r>
    </w:p>
    <w:p w14:paraId="0FCE621D" w14:textId="0FB0CF21" w:rsidR="003B4C6C" w:rsidRDefault="003B4C6C" w:rsidP="003B4C6C">
      <w:pPr>
        <w:pStyle w:val="Body12pt"/>
        <w:numPr>
          <w:ilvl w:val="0"/>
          <w:numId w:val="31"/>
        </w:numPr>
      </w:pPr>
      <w:r>
        <w:t>Part-</w:t>
      </w:r>
      <w:r w:rsidR="005D7D37">
        <w:t>t</w:t>
      </w:r>
      <w:r>
        <w:t>ime - 2 or 3 years</w:t>
      </w:r>
      <w:r>
        <w:br/>
      </w:r>
    </w:p>
    <w:p w14:paraId="7B96B7B1" w14:textId="12C8E028" w:rsidR="003B4C6C" w:rsidRDefault="003B4C6C" w:rsidP="003B4C6C">
      <w:pPr>
        <w:pStyle w:val="Body12pt"/>
      </w:pPr>
      <w:r>
        <w:t>Postgraduate Masters (</w:t>
      </w:r>
      <w:r w:rsidR="005D7D37">
        <w:t>r</w:t>
      </w:r>
      <w:r>
        <w:t xml:space="preserve">esearch or </w:t>
      </w:r>
      <w:r w:rsidR="005D7D37">
        <w:t>t</w:t>
      </w:r>
      <w:r>
        <w:t>aught):</w:t>
      </w:r>
    </w:p>
    <w:p w14:paraId="6011F43D" w14:textId="67F09F24" w:rsidR="003B4C6C" w:rsidRDefault="003B4C6C" w:rsidP="003B4C6C">
      <w:pPr>
        <w:pStyle w:val="Body12pt"/>
        <w:numPr>
          <w:ilvl w:val="0"/>
          <w:numId w:val="31"/>
        </w:numPr>
      </w:pPr>
      <w:r>
        <w:t>Full-</w:t>
      </w:r>
      <w:r w:rsidR="005D7D37">
        <w:t>t</w:t>
      </w:r>
      <w:r>
        <w:t>ime - 1 or 2 years</w:t>
      </w:r>
    </w:p>
    <w:p w14:paraId="2BD3BA94" w14:textId="0C791653" w:rsidR="003B4C6C" w:rsidRDefault="003B4C6C" w:rsidP="003B4C6C">
      <w:pPr>
        <w:pStyle w:val="Body12pt"/>
        <w:numPr>
          <w:ilvl w:val="0"/>
          <w:numId w:val="31"/>
        </w:numPr>
      </w:pPr>
      <w:r>
        <w:t>Part-</w:t>
      </w:r>
      <w:r w:rsidR="005D7D37">
        <w:t>t</w:t>
      </w:r>
      <w:r>
        <w:t>ime - 2, 3 or 4 years</w:t>
      </w:r>
    </w:p>
    <w:p w14:paraId="39C34A90" w14:textId="77777777" w:rsidR="003B4C6C" w:rsidRDefault="003B4C6C" w:rsidP="003B4C6C">
      <w:pPr>
        <w:pStyle w:val="Body12pt"/>
      </w:pPr>
    </w:p>
    <w:p w14:paraId="74A98140" w14:textId="77777777" w:rsidR="003B4C6C" w:rsidRPr="003B4C6C" w:rsidRDefault="003B4C6C" w:rsidP="003B4C6C">
      <w:pPr>
        <w:pStyle w:val="Body12pt"/>
        <w:rPr>
          <w:b/>
          <w:bCs/>
        </w:rPr>
      </w:pPr>
      <w:r w:rsidRPr="003B4C6C">
        <w:rPr>
          <w:b/>
          <w:bCs/>
        </w:rPr>
        <w:t>Fees:</w:t>
      </w:r>
    </w:p>
    <w:p w14:paraId="4F786A01" w14:textId="77777777" w:rsidR="003B4C6C" w:rsidRDefault="003B4C6C" w:rsidP="003B4C6C">
      <w:pPr>
        <w:pStyle w:val="Body12pt"/>
      </w:pPr>
    </w:p>
    <w:p w14:paraId="355EE9F1" w14:textId="4ACB7803" w:rsidR="003B4C6C" w:rsidRDefault="003B4C6C" w:rsidP="003B4C6C">
      <w:pPr>
        <w:pStyle w:val="Body12pt"/>
      </w:pPr>
      <w:r>
        <w:t>Enter the full course fee amount. If your course is more than one year</w:t>
      </w:r>
      <w:r w:rsidR="005D7D37">
        <w:t xml:space="preserve"> </w:t>
      </w:r>
      <w:r>
        <w:t>in duration, split your fees equally across all years of the course.</w:t>
      </w:r>
    </w:p>
    <w:p w14:paraId="40FF1B04" w14:textId="77777777" w:rsidR="003B4C6C" w:rsidRDefault="003B4C6C" w:rsidP="003B4C6C">
      <w:pPr>
        <w:pStyle w:val="Body12pt"/>
      </w:pPr>
    </w:p>
    <w:p w14:paraId="72E621CD" w14:textId="349845C6" w:rsidR="003B4C6C" w:rsidRDefault="003B4C6C" w:rsidP="003B4C6C">
      <w:pPr>
        <w:pStyle w:val="HeaderGreen"/>
      </w:pPr>
      <w:r>
        <w:lastRenderedPageBreak/>
        <w:t xml:space="preserve">Postgraduate </w:t>
      </w:r>
      <w:r w:rsidR="007B3BA5">
        <w:t>d</w:t>
      </w:r>
      <w:r>
        <w:t>octoral</w:t>
      </w:r>
    </w:p>
    <w:p w14:paraId="1EB51424" w14:textId="77777777" w:rsidR="003B4C6C" w:rsidRDefault="003B4C6C" w:rsidP="003B4C6C">
      <w:pPr>
        <w:pStyle w:val="HeaderGreen"/>
      </w:pPr>
    </w:p>
    <w:p w14:paraId="0BAF4176" w14:textId="0D42045C" w:rsidR="003B4C6C" w:rsidRDefault="003B4C6C" w:rsidP="003B4C6C">
      <w:pPr>
        <w:pStyle w:val="Body12pt"/>
        <w:numPr>
          <w:ilvl w:val="0"/>
          <w:numId w:val="35"/>
        </w:numPr>
      </w:pPr>
      <w:r w:rsidRPr="003B4C6C">
        <w:t>Postgraduate Doctoral Loans are only available in England and Wales</w:t>
      </w:r>
    </w:p>
    <w:p w14:paraId="0896CA01" w14:textId="77777777" w:rsidR="003B4C6C" w:rsidRDefault="003B4C6C" w:rsidP="003B4C6C">
      <w:pPr>
        <w:pStyle w:val="Body12pt"/>
      </w:pPr>
    </w:p>
    <w:p w14:paraId="3D1C7B8E" w14:textId="38ADF685" w:rsidR="003B4C6C" w:rsidRDefault="003B4C6C" w:rsidP="003B4C6C">
      <w:pPr>
        <w:pStyle w:val="Body12pt"/>
        <w:numPr>
          <w:ilvl w:val="0"/>
          <w:numId w:val="35"/>
        </w:numPr>
      </w:pPr>
      <w:r w:rsidRPr="003B4C6C">
        <w:t xml:space="preserve">The course set up is </w:t>
      </w:r>
      <w:proofErr w:type="gramStart"/>
      <w:r w:rsidRPr="003B4C6C">
        <w:t>similar to</w:t>
      </w:r>
      <w:proofErr w:type="gramEnd"/>
      <w:r w:rsidRPr="003B4C6C">
        <w:t xml:space="preserve"> England/Wales PG Masters</w:t>
      </w:r>
    </w:p>
    <w:p w14:paraId="4E8C17A8" w14:textId="77777777" w:rsidR="003B4C6C" w:rsidRDefault="003B4C6C" w:rsidP="003B4C6C">
      <w:pPr>
        <w:pStyle w:val="Body12pt"/>
      </w:pPr>
    </w:p>
    <w:p w14:paraId="2293CCA8" w14:textId="04D70F88" w:rsidR="003B4C6C" w:rsidRDefault="003B4C6C" w:rsidP="003B4C6C">
      <w:pPr>
        <w:pStyle w:val="Body12pt"/>
        <w:numPr>
          <w:ilvl w:val="0"/>
          <w:numId w:val="35"/>
        </w:numPr>
      </w:pPr>
      <w:r w:rsidRPr="003B4C6C">
        <w:t>Do not use generic course titles</w:t>
      </w:r>
    </w:p>
    <w:p w14:paraId="11451C52" w14:textId="77777777" w:rsidR="003B4C6C" w:rsidRDefault="003B4C6C" w:rsidP="003B4C6C">
      <w:pPr>
        <w:pStyle w:val="Body12pt"/>
      </w:pPr>
    </w:p>
    <w:p w14:paraId="7652AF60" w14:textId="497B8542" w:rsidR="003B4C6C" w:rsidRDefault="003B4C6C" w:rsidP="003B4C6C">
      <w:pPr>
        <w:pStyle w:val="Body12pt"/>
        <w:numPr>
          <w:ilvl w:val="0"/>
          <w:numId w:val="35"/>
        </w:numPr>
      </w:pPr>
      <w:r w:rsidRPr="003B4C6C">
        <w:t>Qualification is limited to Postgraduate Doctorate</w:t>
      </w:r>
    </w:p>
    <w:p w14:paraId="07773328" w14:textId="77777777" w:rsidR="003B4C6C" w:rsidRDefault="003B4C6C" w:rsidP="003B4C6C">
      <w:pPr>
        <w:pStyle w:val="Body12pt"/>
      </w:pPr>
    </w:p>
    <w:p w14:paraId="5C3A96F5" w14:textId="22B41F4D" w:rsidR="003B4C6C" w:rsidRDefault="003B4C6C" w:rsidP="003B4C6C">
      <w:pPr>
        <w:pStyle w:val="Body12pt"/>
        <w:numPr>
          <w:ilvl w:val="0"/>
          <w:numId w:val="35"/>
        </w:numPr>
      </w:pPr>
      <w:r w:rsidRPr="003B4C6C">
        <w:t>Duration is a minimum of 3 years and a maximum of 8 years. Intensity studied in each individual year is not part of doctoral policy</w:t>
      </w:r>
    </w:p>
    <w:p w14:paraId="071CBA5F" w14:textId="77777777" w:rsidR="003B4C6C" w:rsidRDefault="003B4C6C" w:rsidP="003B4C6C">
      <w:pPr>
        <w:pStyle w:val="ListParagraph"/>
      </w:pPr>
    </w:p>
    <w:p w14:paraId="6B967BEA" w14:textId="77777777" w:rsidR="003B4C6C" w:rsidRDefault="003B4C6C" w:rsidP="003B4C6C">
      <w:pPr>
        <w:pStyle w:val="Body12pt"/>
      </w:pPr>
    </w:p>
    <w:p w14:paraId="0227F1AD" w14:textId="6D2EBCEB" w:rsidR="003B4C6C" w:rsidRPr="003B4C6C" w:rsidRDefault="003B4C6C" w:rsidP="003B4C6C">
      <w:pPr>
        <w:pStyle w:val="HeaderGreen"/>
      </w:pPr>
      <w:r w:rsidRPr="003B4C6C">
        <w:t xml:space="preserve">Right </w:t>
      </w:r>
      <w:proofErr w:type="gramStart"/>
      <w:r w:rsidR="007B3BA5">
        <w:t>f</w:t>
      </w:r>
      <w:r w:rsidRPr="003B4C6C">
        <w:t xml:space="preserve">irst </w:t>
      </w:r>
      <w:r w:rsidR="007B3BA5">
        <w:t>t</w:t>
      </w:r>
      <w:r w:rsidRPr="003B4C6C">
        <w:t>ime</w:t>
      </w:r>
      <w:proofErr w:type="gramEnd"/>
      <w:r w:rsidRPr="003B4C6C">
        <w:t xml:space="preserve"> </w:t>
      </w:r>
      <w:r w:rsidR="007B3BA5">
        <w:t>e</w:t>
      </w:r>
      <w:r w:rsidRPr="003B4C6C">
        <w:t>rrors</w:t>
      </w:r>
    </w:p>
    <w:p w14:paraId="7B1BC7BC" w14:textId="77777777" w:rsidR="003B4C6C" w:rsidRDefault="003B4C6C" w:rsidP="003B4C6C">
      <w:pPr>
        <w:pStyle w:val="HeaderGreen"/>
      </w:pPr>
    </w:p>
    <w:p w14:paraId="52C91124" w14:textId="4B39B8D4" w:rsidR="003B4C6C" w:rsidRDefault="003B4C6C" w:rsidP="003B4C6C">
      <w:pPr>
        <w:pStyle w:val="Body12pt"/>
      </w:pPr>
      <w:r w:rsidRPr="003B4C6C">
        <w:t xml:space="preserve">Making a mistake on your course submission could mean that </w:t>
      </w:r>
      <w:proofErr w:type="gramStart"/>
      <w:r w:rsidRPr="003B4C6C">
        <w:t>all of</w:t>
      </w:r>
      <w:proofErr w:type="gramEnd"/>
      <w:r w:rsidRPr="003B4C6C">
        <w:t xml:space="preserve"> the impacted students’ applications need to be reassessed by SLC and their financial entitlement adjusted.</w:t>
      </w:r>
    </w:p>
    <w:p w14:paraId="31DC7436" w14:textId="77777777" w:rsidR="003B4C6C" w:rsidRDefault="003B4C6C" w:rsidP="003B4C6C">
      <w:pPr>
        <w:pStyle w:val="Body12pt"/>
      </w:pPr>
    </w:p>
    <w:p w14:paraId="3DEA5F17" w14:textId="6044C00A" w:rsidR="003B4C6C" w:rsidRPr="003B4C6C" w:rsidRDefault="003B4C6C" w:rsidP="003B4C6C">
      <w:pPr>
        <w:pStyle w:val="Body12pt"/>
        <w:rPr>
          <w:b/>
          <w:bCs/>
        </w:rPr>
      </w:pPr>
      <w:r w:rsidRPr="003B4C6C">
        <w:rPr>
          <w:b/>
          <w:bCs/>
        </w:rPr>
        <w:t xml:space="preserve">Live </w:t>
      </w:r>
      <w:r w:rsidR="005D7D37">
        <w:rPr>
          <w:b/>
          <w:bCs/>
        </w:rPr>
        <w:t>c</w:t>
      </w:r>
      <w:r w:rsidRPr="003B4C6C">
        <w:rPr>
          <w:b/>
          <w:bCs/>
        </w:rPr>
        <w:t>ycle</w:t>
      </w:r>
    </w:p>
    <w:p w14:paraId="5EF71F49" w14:textId="77777777" w:rsidR="003B4C6C" w:rsidRDefault="003B4C6C" w:rsidP="003B4C6C">
      <w:pPr>
        <w:pStyle w:val="Body12pt"/>
      </w:pPr>
    </w:p>
    <w:p w14:paraId="7DE82174" w14:textId="7B94FEE0" w:rsidR="003B4C6C" w:rsidRDefault="003B4C6C" w:rsidP="003B4C6C">
      <w:pPr>
        <w:pStyle w:val="Body12pt"/>
      </w:pPr>
      <w:r w:rsidRPr="003B4C6C">
        <w:t>Once the student application cycle is live and students have started to apply for your courses, if you make any changes then all students attached to the courses concerned will need to be reassessed.</w:t>
      </w:r>
    </w:p>
    <w:p w14:paraId="6ADEFF7F" w14:textId="77777777" w:rsidR="003B4C6C" w:rsidRDefault="003B4C6C" w:rsidP="003B4C6C">
      <w:pPr>
        <w:pStyle w:val="Body12pt"/>
      </w:pPr>
    </w:p>
    <w:p w14:paraId="02A7E165" w14:textId="2970FB2E" w:rsidR="003B4C6C" w:rsidRDefault="003B4C6C" w:rsidP="003B4C6C">
      <w:pPr>
        <w:pStyle w:val="Body12pt"/>
        <w:rPr>
          <w:b/>
          <w:bCs/>
        </w:rPr>
      </w:pPr>
      <w:r w:rsidRPr="003B4C6C">
        <w:rPr>
          <w:b/>
          <w:bCs/>
        </w:rPr>
        <w:t xml:space="preserve">Financial </w:t>
      </w:r>
      <w:r w:rsidR="005D7D37">
        <w:rPr>
          <w:b/>
          <w:bCs/>
        </w:rPr>
        <w:t>e</w:t>
      </w:r>
      <w:r w:rsidRPr="003B4C6C">
        <w:rPr>
          <w:b/>
          <w:bCs/>
        </w:rPr>
        <w:t>ntitlement</w:t>
      </w:r>
    </w:p>
    <w:p w14:paraId="114EFFA1" w14:textId="77777777" w:rsidR="003B4C6C" w:rsidRDefault="003B4C6C" w:rsidP="003B4C6C">
      <w:pPr>
        <w:pStyle w:val="Body12pt"/>
        <w:rPr>
          <w:b/>
          <w:bCs/>
        </w:rPr>
      </w:pPr>
    </w:p>
    <w:p w14:paraId="1BC89567" w14:textId="68D9944B" w:rsidR="003B4C6C" w:rsidRDefault="003B4C6C" w:rsidP="003B4C6C">
      <w:pPr>
        <w:pStyle w:val="Body12pt"/>
      </w:pPr>
      <w:r w:rsidRPr="003B4C6C">
        <w:t xml:space="preserve">If you have altered the course significantly (such as changing the </w:t>
      </w:r>
      <w:r w:rsidR="005D7D37">
        <w:t>t</w:t>
      </w:r>
      <w:r w:rsidRPr="003B4C6C">
        <w:t xml:space="preserve">erm </w:t>
      </w:r>
      <w:r w:rsidR="005D7D37">
        <w:t>d</w:t>
      </w:r>
      <w:r w:rsidRPr="003B4C6C">
        <w:t>ates) this can alter the students’ entitlement as UG funding is based on days/weeks in study.</w:t>
      </w:r>
    </w:p>
    <w:p w14:paraId="77FD5C5D" w14:textId="77777777" w:rsidR="003B4C6C" w:rsidRDefault="003B4C6C" w:rsidP="003B4C6C">
      <w:pPr>
        <w:pStyle w:val="Body12pt"/>
      </w:pPr>
    </w:p>
    <w:p w14:paraId="5A79E8CA" w14:textId="21F83408" w:rsidR="003B4C6C" w:rsidRDefault="00AA4470" w:rsidP="00AA4470">
      <w:pPr>
        <w:pStyle w:val="HeaderGreen"/>
      </w:pPr>
      <w:r w:rsidRPr="00AA4470">
        <w:lastRenderedPageBreak/>
        <w:t xml:space="preserve">Course </w:t>
      </w:r>
      <w:r w:rsidR="007B3BA5">
        <w:t>c</w:t>
      </w:r>
      <w:r w:rsidRPr="00AA4470">
        <w:t>hanges</w:t>
      </w:r>
    </w:p>
    <w:p w14:paraId="237A122A" w14:textId="77777777" w:rsidR="00AA4470" w:rsidRDefault="00AA4470" w:rsidP="00AA4470">
      <w:pPr>
        <w:pStyle w:val="HeaderGreen"/>
      </w:pPr>
    </w:p>
    <w:p w14:paraId="06CFA6E4" w14:textId="766ADF3A" w:rsidR="00AA4470" w:rsidRDefault="00AA4470" w:rsidP="00AA4470">
      <w:pPr>
        <w:pStyle w:val="Body12pt"/>
        <w:numPr>
          <w:ilvl w:val="0"/>
          <w:numId w:val="36"/>
        </w:numPr>
      </w:pPr>
      <w:r>
        <w:t xml:space="preserve">For </w:t>
      </w:r>
      <w:r w:rsidR="00A31CD4">
        <w:t>academic year 20</w:t>
      </w:r>
      <w:r>
        <w:t>24/25 so far, 9067 courses were changed that required any students on them to be reassessed. These changes were made after the student application launch</w:t>
      </w:r>
    </w:p>
    <w:p w14:paraId="2F1845B5" w14:textId="77777777" w:rsidR="00AA4470" w:rsidRDefault="00AA4470" w:rsidP="00AA4470">
      <w:pPr>
        <w:pStyle w:val="Body12pt"/>
      </w:pPr>
    </w:p>
    <w:p w14:paraId="696C13AF" w14:textId="09D2F1E6" w:rsidR="00AA4470" w:rsidRDefault="00AA4470" w:rsidP="00AA4470">
      <w:pPr>
        <w:pStyle w:val="Body12pt"/>
        <w:numPr>
          <w:ilvl w:val="0"/>
          <w:numId w:val="36"/>
        </w:numPr>
      </w:pPr>
      <w:r>
        <w:t>We would encourage any changes to be made to courses (if necessary), to be made at least 2 weeks prior to student application launch</w:t>
      </w:r>
      <w:r w:rsidR="000E18CF">
        <w:t>.</w:t>
      </w:r>
    </w:p>
    <w:p w14:paraId="24E91356" w14:textId="77777777" w:rsidR="00AA4470" w:rsidRDefault="00AA4470" w:rsidP="00AA4470">
      <w:pPr>
        <w:pStyle w:val="Body12pt"/>
      </w:pPr>
    </w:p>
    <w:p w14:paraId="4C123E9A" w14:textId="7C96B6AE" w:rsidR="00AA4470" w:rsidRDefault="00AA4470" w:rsidP="000E18CF">
      <w:pPr>
        <w:pStyle w:val="Body12pt"/>
        <w:numPr>
          <w:ilvl w:val="0"/>
          <w:numId w:val="36"/>
        </w:numPr>
      </w:pPr>
      <w:r>
        <w:t xml:space="preserve">For any change that is made after student application launch is open, you </w:t>
      </w:r>
      <w:r w:rsidRPr="00AA4470">
        <w:rPr>
          <w:b/>
          <w:bCs/>
        </w:rPr>
        <w:t>must</w:t>
      </w:r>
      <w:r>
        <w:t xml:space="preserve"> contact us </w:t>
      </w:r>
      <w:r w:rsidRPr="00AA4470">
        <w:rPr>
          <w:b/>
          <w:bCs/>
        </w:rPr>
        <w:t>before</w:t>
      </w:r>
      <w:r>
        <w:t xml:space="preserve"> you make the change</w:t>
      </w:r>
      <w:r w:rsidR="000E18CF">
        <w:t>.</w:t>
      </w:r>
    </w:p>
    <w:p w14:paraId="2E0F7AC2" w14:textId="77777777" w:rsidR="00AA4470" w:rsidRDefault="00AA4470" w:rsidP="00AA4470">
      <w:pPr>
        <w:pStyle w:val="Body12pt"/>
      </w:pPr>
    </w:p>
    <w:p w14:paraId="302F490F" w14:textId="3CEB1EE8" w:rsidR="00AA4470" w:rsidRDefault="00AA4470" w:rsidP="00AA4470">
      <w:pPr>
        <w:pStyle w:val="Body12pt"/>
        <w:numPr>
          <w:ilvl w:val="0"/>
          <w:numId w:val="36"/>
        </w:numPr>
      </w:pPr>
      <w:r>
        <w:t xml:space="preserve">For changes made after student application has launched, you must contact </w:t>
      </w:r>
      <w:hyperlink r:id="rId13" w:history="1">
        <w:r w:rsidRPr="00ED53FB">
          <w:rPr>
            <w:rStyle w:val="Hyperlink"/>
          </w:rPr>
          <w:t>ssin_queries@slc.co.uk</w:t>
        </w:r>
      </w:hyperlink>
      <w:r>
        <w:t xml:space="preserve"> and you will be asked to fill in a course change form </w:t>
      </w:r>
      <w:r w:rsidRPr="00AA4470">
        <w:rPr>
          <w:b/>
          <w:bCs/>
        </w:rPr>
        <w:t>before</w:t>
      </w:r>
      <w:r>
        <w:t xml:space="preserve"> you make the change on CMS</w:t>
      </w:r>
      <w:r w:rsidR="000E18CF">
        <w:t>.</w:t>
      </w:r>
    </w:p>
    <w:p w14:paraId="46D63FCD" w14:textId="77777777" w:rsidR="00AA4470" w:rsidRDefault="00AA4470" w:rsidP="00AA4470">
      <w:pPr>
        <w:pStyle w:val="ListParagraph"/>
      </w:pPr>
    </w:p>
    <w:p w14:paraId="201543B2" w14:textId="77777777" w:rsidR="00AA4470" w:rsidRDefault="00AA4470" w:rsidP="00AA4470">
      <w:pPr>
        <w:pStyle w:val="Header1"/>
      </w:pPr>
    </w:p>
    <w:p w14:paraId="342FAA91" w14:textId="77777777" w:rsidR="00AA4470" w:rsidRDefault="00AA4470" w:rsidP="00AA4470">
      <w:pPr>
        <w:pStyle w:val="Header1"/>
      </w:pPr>
    </w:p>
    <w:p w14:paraId="1560BC9D" w14:textId="77777777" w:rsidR="00AA4470" w:rsidRDefault="00AA4470" w:rsidP="00AA4470">
      <w:pPr>
        <w:pStyle w:val="Header1"/>
      </w:pPr>
    </w:p>
    <w:p w14:paraId="53BB7230" w14:textId="77777777" w:rsidR="00AA4470" w:rsidRDefault="00AA4470" w:rsidP="00AA4470">
      <w:pPr>
        <w:pStyle w:val="Header1"/>
      </w:pPr>
    </w:p>
    <w:p w14:paraId="37D2A948" w14:textId="77777777" w:rsidR="007B3BA5" w:rsidRDefault="007B3BA5" w:rsidP="00AA4470">
      <w:pPr>
        <w:pStyle w:val="Header1"/>
      </w:pPr>
    </w:p>
    <w:p w14:paraId="3E89C38C" w14:textId="3B30A1C9" w:rsidR="00AA4470" w:rsidRDefault="00AA4470" w:rsidP="00AA4470">
      <w:pPr>
        <w:pStyle w:val="Header1"/>
      </w:pPr>
      <w:r>
        <w:lastRenderedPageBreak/>
        <w:t>Queries and guidance</w:t>
      </w:r>
    </w:p>
    <w:p w14:paraId="47C5C6CE" w14:textId="22C46A81" w:rsidR="00AA4470" w:rsidRDefault="00AA4470" w:rsidP="00AA4470">
      <w:pPr>
        <w:pStyle w:val="HeaderGreen"/>
      </w:pPr>
      <w:r>
        <w:t>Further guidance</w:t>
      </w:r>
    </w:p>
    <w:p w14:paraId="622E0883" w14:textId="77777777" w:rsidR="00AA4470" w:rsidRDefault="00AA4470" w:rsidP="00AA4470">
      <w:pPr>
        <w:pStyle w:val="HeaderGreen"/>
      </w:pPr>
    </w:p>
    <w:p w14:paraId="54B947CB" w14:textId="42D404A6" w:rsidR="00AA4470" w:rsidRDefault="00AA4470" w:rsidP="00AA4470">
      <w:pPr>
        <w:pStyle w:val="Body12pt"/>
      </w:pPr>
      <w:r w:rsidRPr="00AA4470">
        <w:t xml:space="preserve">For guidance information for SIS, CMS, BAS, the Service Agreement and news please visit the </w:t>
      </w:r>
      <w:hyperlink r:id="rId14" w:history="1">
        <w:r w:rsidRPr="00AA4470">
          <w:rPr>
            <w:rStyle w:val="Hyperlink"/>
          </w:rPr>
          <w:t>HEP Services website</w:t>
        </w:r>
      </w:hyperlink>
      <w:r>
        <w:t>.</w:t>
      </w:r>
      <w:r w:rsidRPr="00AA4470">
        <w:t xml:space="preserve"> </w:t>
      </w:r>
    </w:p>
    <w:p w14:paraId="4FCD7D40" w14:textId="77777777" w:rsidR="00AA4470" w:rsidRDefault="00AA4470" w:rsidP="00AA4470">
      <w:pPr>
        <w:pStyle w:val="Body12pt"/>
      </w:pPr>
    </w:p>
    <w:p w14:paraId="7C35E7E8" w14:textId="4D663C4F" w:rsidR="00AA4470" w:rsidRDefault="00AA4470" w:rsidP="00AA4470">
      <w:pPr>
        <w:pStyle w:val="Body12pt"/>
      </w:pPr>
      <w:r w:rsidRPr="00AA4470">
        <w:t xml:space="preserve">Or contact your Regional </w:t>
      </w:r>
      <w:hyperlink r:id="rId15" w:history="1">
        <w:r w:rsidRPr="00AA4470">
          <w:rPr>
            <w:rStyle w:val="Hyperlink"/>
          </w:rPr>
          <w:t>HEP Account Manager</w:t>
        </w:r>
      </w:hyperlink>
      <w:r>
        <w:t>.</w:t>
      </w:r>
    </w:p>
    <w:p w14:paraId="1FA27921" w14:textId="77777777" w:rsidR="00AA4470" w:rsidRDefault="00AA4470" w:rsidP="00AA4470">
      <w:pPr>
        <w:pStyle w:val="Body12pt"/>
      </w:pPr>
    </w:p>
    <w:p w14:paraId="290A4E10" w14:textId="27B4F1D8" w:rsidR="00AA4470" w:rsidRDefault="00AA4470" w:rsidP="00AA4470">
      <w:pPr>
        <w:pStyle w:val="HeaderGreen"/>
      </w:pPr>
      <w:r w:rsidRPr="00AA4470">
        <w:t xml:space="preserve">Partner Support Desk </w:t>
      </w:r>
    </w:p>
    <w:p w14:paraId="38EAE286" w14:textId="77777777" w:rsidR="00AA4470" w:rsidRDefault="00AA4470" w:rsidP="00AA4470">
      <w:pPr>
        <w:pStyle w:val="Body12pt"/>
      </w:pPr>
    </w:p>
    <w:p w14:paraId="520AFA7B" w14:textId="687ADA06" w:rsidR="00AA4470" w:rsidRDefault="00AA4470" w:rsidP="00AA4470">
      <w:pPr>
        <w:pStyle w:val="Body12pt"/>
      </w:pPr>
      <w:r w:rsidRPr="00AA4470">
        <w:t>E-mail</w:t>
      </w:r>
      <w:r>
        <w:t>:</w:t>
      </w:r>
      <w:r w:rsidRPr="00AA4470">
        <w:t xml:space="preserve"> </w:t>
      </w:r>
      <w:hyperlink r:id="rId16" w:history="1">
        <w:r w:rsidRPr="00ED53FB">
          <w:rPr>
            <w:rStyle w:val="Hyperlink"/>
          </w:rPr>
          <w:t>HEP_Services@slc.co.uk</w:t>
        </w:r>
      </w:hyperlink>
      <w:r>
        <w:t xml:space="preserve"> </w:t>
      </w:r>
    </w:p>
    <w:p w14:paraId="2039356A" w14:textId="4C0B0D98" w:rsidR="00AA4470" w:rsidRPr="003B4C6C" w:rsidRDefault="00AA4470" w:rsidP="00AA4470">
      <w:pPr>
        <w:pStyle w:val="Body12pt"/>
      </w:pPr>
      <w:r w:rsidRPr="00AA4470">
        <w:t>Phone</w:t>
      </w:r>
      <w:r>
        <w:t>:</w:t>
      </w:r>
      <w:r w:rsidRPr="00AA4470">
        <w:t xml:space="preserve"> 0300 100 0642</w:t>
      </w:r>
    </w:p>
    <w:sectPr w:rsidR="00AA4470" w:rsidRPr="003B4C6C" w:rsidSect="000949E9">
      <w:headerReference w:type="default" r:id="rId17"/>
      <w:footerReference w:type="default" r:id="rId18"/>
      <w:headerReference w:type="first" r:id="rId19"/>
      <w:footerReference w:type="first" r:id="rId20"/>
      <w:pgSz w:w="16838" w:h="11906" w:orient="landscape"/>
      <w:pgMar w:top="1843" w:right="1404" w:bottom="1440" w:left="1985"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0A7C" w14:textId="77777777" w:rsidR="00F12F06" w:rsidRDefault="00F12F06" w:rsidP="00684D74">
      <w:pPr>
        <w:spacing w:after="0" w:line="240" w:lineRule="auto"/>
      </w:pPr>
      <w:r>
        <w:separator/>
      </w:r>
    </w:p>
  </w:endnote>
  <w:endnote w:type="continuationSeparator" w:id="0">
    <w:p w14:paraId="6726C337" w14:textId="77777777" w:rsidR="00F12F06" w:rsidRDefault="00F12F06"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NeueLT Std Me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8A82" w14:textId="63DB7CB6" w:rsidR="00684D74" w:rsidRDefault="00A607A1">
    <w:pPr>
      <w:pStyle w:val="Footer"/>
    </w:pPr>
    <w:r>
      <w:rPr>
        <w:rFonts w:ascii="HelveticaNeueLT Std Med" w:hAnsi="HelveticaNeueLT Std Med"/>
        <w:noProof/>
        <w:color w:val="C3E682"/>
        <w:sz w:val="56"/>
        <w:szCs w:val="56"/>
      </w:rPr>
      <w:drawing>
        <wp:anchor distT="0" distB="0" distL="114300" distR="114300" simplePos="0" relativeHeight="251680768" behindDoc="1" locked="0" layoutInCell="1" allowOverlap="1" wp14:anchorId="49A09C68" wp14:editId="616AC6B8">
          <wp:simplePos x="0" y="0"/>
          <wp:positionH relativeFrom="margin">
            <wp:align>right</wp:align>
          </wp:positionH>
          <wp:positionV relativeFrom="paragraph">
            <wp:posOffset>-533400</wp:posOffset>
          </wp:positionV>
          <wp:extent cx="1388176" cy="1202055"/>
          <wp:effectExtent l="0" t="0" r="0" b="0"/>
          <wp:wrapNone/>
          <wp:docPr id="6027854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2107" t="82863"/>
                  <a:stretch/>
                </pic:blipFill>
                <pic:spPr bwMode="auto">
                  <a:xfrm>
                    <a:off x="0" y="0"/>
                    <a:ext cx="1388176" cy="1202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49E9">
      <w:rPr>
        <w:rFonts w:ascii="HelveticaNeueLT Std Med" w:hAnsi="HelveticaNeueLT Std Med"/>
        <w:noProof/>
        <w:color w:val="C3E682"/>
        <w:sz w:val="56"/>
        <w:szCs w:val="56"/>
      </w:rPr>
      <w:drawing>
        <wp:anchor distT="0" distB="0" distL="114300" distR="114300" simplePos="0" relativeHeight="251678720" behindDoc="1" locked="0" layoutInCell="1" allowOverlap="1" wp14:anchorId="16687E92" wp14:editId="4781A420">
          <wp:simplePos x="0" y="0"/>
          <wp:positionH relativeFrom="page">
            <wp:posOffset>1117600</wp:posOffset>
          </wp:positionH>
          <wp:positionV relativeFrom="paragraph">
            <wp:posOffset>-970915</wp:posOffset>
          </wp:positionV>
          <wp:extent cx="1993900" cy="1824990"/>
          <wp:effectExtent l="0" t="0" r="0" b="0"/>
          <wp:wrapNone/>
          <wp:docPr id="35503570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r="73611"/>
                  <a:stretch/>
                </pic:blipFill>
                <pic:spPr bwMode="auto">
                  <a:xfrm>
                    <a:off x="0" y="0"/>
                    <a:ext cx="1993900"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9EE" w14:textId="1E1C6964" w:rsidR="00684D74" w:rsidRDefault="000949E9" w:rsidP="000949E9">
    <w:pPr>
      <w:pStyle w:val="Footer"/>
      <w:tabs>
        <w:tab w:val="clear" w:pos="4513"/>
        <w:tab w:val="clear" w:pos="9026"/>
        <w:tab w:val="left" w:pos="10000"/>
      </w:tabs>
    </w:pPr>
    <w:r>
      <w:rPr>
        <w:rFonts w:ascii="HelveticaNeueLT Std Med" w:hAnsi="HelveticaNeueLT Std Med"/>
        <w:noProof/>
        <w:color w:val="C3E682"/>
        <w:sz w:val="56"/>
        <w:szCs w:val="56"/>
      </w:rPr>
      <w:drawing>
        <wp:anchor distT="0" distB="0" distL="114300" distR="114300" simplePos="0" relativeHeight="251672576" behindDoc="1" locked="0" layoutInCell="1" allowOverlap="1" wp14:anchorId="3D2D245E" wp14:editId="3EAE7D2F">
          <wp:simplePos x="0" y="0"/>
          <wp:positionH relativeFrom="margin">
            <wp:align>right</wp:align>
          </wp:positionH>
          <wp:positionV relativeFrom="paragraph">
            <wp:posOffset>-526415</wp:posOffset>
          </wp:positionV>
          <wp:extent cx="1388176" cy="1202055"/>
          <wp:effectExtent l="0" t="0" r="0" b="0"/>
          <wp:wrapNone/>
          <wp:docPr id="128216627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2107" t="82863"/>
                  <a:stretch/>
                </pic:blipFill>
                <pic:spPr bwMode="auto">
                  <a:xfrm>
                    <a:off x="0" y="0"/>
                    <a:ext cx="1388176" cy="1202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4D74">
      <w:rPr>
        <w:rFonts w:ascii="HelveticaNeueLT Std Med" w:hAnsi="HelveticaNeueLT Std Med"/>
        <w:noProof/>
        <w:color w:val="C3E682"/>
        <w:sz w:val="56"/>
        <w:szCs w:val="56"/>
      </w:rPr>
      <w:drawing>
        <wp:anchor distT="0" distB="0" distL="114300" distR="114300" simplePos="0" relativeHeight="251670528" behindDoc="1" locked="0" layoutInCell="1" allowOverlap="1" wp14:anchorId="306E6F59" wp14:editId="73FE725B">
          <wp:simplePos x="0" y="0"/>
          <wp:positionH relativeFrom="page">
            <wp:posOffset>863601</wp:posOffset>
          </wp:positionH>
          <wp:positionV relativeFrom="paragraph">
            <wp:posOffset>-1009015</wp:posOffset>
          </wp:positionV>
          <wp:extent cx="1993900" cy="1824990"/>
          <wp:effectExtent l="0" t="0" r="0" b="0"/>
          <wp:wrapNone/>
          <wp:docPr id="47225763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r="73611"/>
                  <a:stretch/>
                </pic:blipFill>
                <pic:spPr bwMode="auto">
                  <a:xfrm>
                    <a:off x="0" y="0"/>
                    <a:ext cx="1993900"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FD20" w14:textId="77777777" w:rsidR="00F12F06" w:rsidRDefault="00F12F06" w:rsidP="00684D74">
      <w:pPr>
        <w:spacing w:after="0" w:line="240" w:lineRule="auto"/>
      </w:pPr>
      <w:r>
        <w:separator/>
      </w:r>
    </w:p>
  </w:footnote>
  <w:footnote w:type="continuationSeparator" w:id="0">
    <w:p w14:paraId="0C8F0807" w14:textId="77777777" w:rsidR="00F12F06" w:rsidRDefault="00F12F06"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ED0" w14:textId="562851EB" w:rsidR="00684D74" w:rsidRDefault="000949E9" w:rsidP="002E1E14">
    <w:pPr>
      <w:pStyle w:val="DocumentHeaderPage2"/>
    </w:pPr>
    <w:r>
      <w:rPr>
        <w:rFonts w:ascii="HelveticaNeueLT Std Med" w:hAnsi="HelveticaNeueLT Std Med"/>
        <w:noProof/>
        <w:color w:val="C3E682"/>
        <w:sz w:val="56"/>
        <w:szCs w:val="56"/>
      </w:rPr>
      <w:drawing>
        <wp:anchor distT="0" distB="0" distL="114300" distR="114300" simplePos="0" relativeHeight="251654139" behindDoc="1" locked="0" layoutInCell="1" allowOverlap="1" wp14:anchorId="64A11FAA" wp14:editId="6B8D07CB">
          <wp:simplePos x="0" y="0"/>
          <wp:positionH relativeFrom="page">
            <wp:posOffset>1776730</wp:posOffset>
          </wp:positionH>
          <wp:positionV relativeFrom="paragraph">
            <wp:posOffset>200025</wp:posOffset>
          </wp:positionV>
          <wp:extent cx="8914765" cy="6817507"/>
          <wp:effectExtent l="0" t="0" r="635" b="0"/>
          <wp:wrapNone/>
          <wp:docPr id="453792431"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t="16044" b="15182"/>
                  <a:stretch/>
                </pic:blipFill>
                <pic:spPr bwMode="auto">
                  <a:xfrm>
                    <a:off x="0" y="0"/>
                    <a:ext cx="8914765" cy="6817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elveticaNeueLT Std Med" w:hAnsi="HelveticaNeueLT Std Med"/>
        <w:noProof/>
        <w:color w:val="C3E682"/>
        <w:sz w:val="56"/>
        <w:szCs w:val="56"/>
      </w:rPr>
      <w:drawing>
        <wp:anchor distT="0" distB="0" distL="114300" distR="114300" simplePos="0" relativeHeight="251653114" behindDoc="1" locked="0" layoutInCell="1" allowOverlap="1" wp14:anchorId="62629A94" wp14:editId="34199905">
          <wp:simplePos x="0" y="0"/>
          <wp:positionH relativeFrom="page">
            <wp:align>right</wp:align>
          </wp:positionH>
          <wp:positionV relativeFrom="paragraph">
            <wp:posOffset>-445135</wp:posOffset>
          </wp:positionV>
          <wp:extent cx="10695305" cy="10668000"/>
          <wp:effectExtent l="0" t="0" r="0" b="0"/>
          <wp:wrapNone/>
          <wp:docPr id="840182055"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2">
                    <a:extLst>
                      <a:ext uri="{28A0092B-C50C-407E-A947-70E740481C1C}">
                        <a14:useLocalDpi xmlns:a14="http://schemas.microsoft.com/office/drawing/2010/main" val="0"/>
                      </a:ext>
                    </a:extLst>
                  </a:blip>
                  <a:stretch>
                    <a:fillRect/>
                  </a:stretch>
                </pic:blipFill>
                <pic:spPr>
                  <a:xfrm>
                    <a:off x="0" y="0"/>
                    <a:ext cx="1069530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F0" w14:textId="5C64B263" w:rsidR="00684D74" w:rsidRDefault="000949E9">
    <w:pPr>
      <w:pStyle w:val="Header"/>
    </w:pPr>
    <w:r>
      <w:rPr>
        <w:rFonts w:ascii="HelveticaNeueLT Std Med" w:hAnsi="HelveticaNeueLT Std Med"/>
        <w:noProof/>
        <w:color w:val="C3E682"/>
        <w:sz w:val="56"/>
        <w:szCs w:val="56"/>
      </w:rPr>
      <w:drawing>
        <wp:anchor distT="0" distB="0" distL="114300" distR="114300" simplePos="0" relativeHeight="251656189" behindDoc="1" locked="0" layoutInCell="1" allowOverlap="1" wp14:anchorId="102191D9" wp14:editId="157F3A33">
          <wp:simplePos x="0" y="0"/>
          <wp:positionH relativeFrom="page">
            <wp:align>right</wp:align>
          </wp:positionH>
          <wp:positionV relativeFrom="paragraph">
            <wp:posOffset>187325</wp:posOffset>
          </wp:positionV>
          <wp:extent cx="8914765" cy="6817507"/>
          <wp:effectExtent l="0" t="0" r="635" b="0"/>
          <wp:wrapNone/>
          <wp:docPr id="1225552518"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t="16044" b="15182"/>
                  <a:stretch/>
                </pic:blipFill>
                <pic:spPr bwMode="auto">
                  <a:xfrm>
                    <a:off x="0" y="0"/>
                    <a:ext cx="8914765" cy="6817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70B1">
      <w:rPr>
        <w:rFonts w:ascii="HelveticaNeueLT Std Med" w:hAnsi="HelveticaNeueLT Std Med"/>
        <w:noProof/>
        <w:color w:val="C3E682"/>
        <w:sz w:val="56"/>
        <w:szCs w:val="56"/>
      </w:rPr>
      <w:drawing>
        <wp:anchor distT="0" distB="0" distL="114300" distR="114300" simplePos="0" relativeHeight="251655164" behindDoc="1" locked="0" layoutInCell="1" allowOverlap="1" wp14:anchorId="716DF112" wp14:editId="37E7BE6A">
          <wp:simplePos x="0" y="0"/>
          <wp:positionH relativeFrom="page">
            <wp:align>right</wp:align>
          </wp:positionH>
          <wp:positionV relativeFrom="paragraph">
            <wp:posOffset>-440055</wp:posOffset>
          </wp:positionV>
          <wp:extent cx="10695305" cy="10668000"/>
          <wp:effectExtent l="0" t="0" r="0" b="0"/>
          <wp:wrapNone/>
          <wp:docPr id="1827502539"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2">
                    <a:extLst>
                      <a:ext uri="{28A0092B-C50C-407E-A947-70E740481C1C}">
                        <a14:useLocalDpi xmlns:a14="http://schemas.microsoft.com/office/drawing/2010/main" val="0"/>
                      </a:ext>
                    </a:extLst>
                  </a:blip>
                  <a:stretch>
                    <a:fillRect/>
                  </a:stretch>
                </pic:blipFill>
                <pic:spPr>
                  <a:xfrm>
                    <a:off x="0" y="0"/>
                    <a:ext cx="10695305" cy="106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C31"/>
    <w:multiLevelType w:val="hybridMultilevel"/>
    <w:tmpl w:val="5EE844F6"/>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06462"/>
    <w:multiLevelType w:val="hybridMultilevel"/>
    <w:tmpl w:val="9AD8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16EE"/>
    <w:multiLevelType w:val="hybridMultilevel"/>
    <w:tmpl w:val="05D65A26"/>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47AB"/>
    <w:multiLevelType w:val="hybridMultilevel"/>
    <w:tmpl w:val="4BB23C40"/>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E32DB"/>
    <w:multiLevelType w:val="hybridMultilevel"/>
    <w:tmpl w:val="85488B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96690"/>
    <w:multiLevelType w:val="hybridMultilevel"/>
    <w:tmpl w:val="EC8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96593"/>
    <w:multiLevelType w:val="hybridMultilevel"/>
    <w:tmpl w:val="FD42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C4781"/>
    <w:multiLevelType w:val="hybridMultilevel"/>
    <w:tmpl w:val="D12C30E6"/>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479B6"/>
    <w:multiLevelType w:val="hybridMultilevel"/>
    <w:tmpl w:val="F5C4EE7C"/>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82FDC"/>
    <w:multiLevelType w:val="hybridMultilevel"/>
    <w:tmpl w:val="A76C5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D4ED5"/>
    <w:multiLevelType w:val="hybridMultilevel"/>
    <w:tmpl w:val="199822A0"/>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5650"/>
    <w:multiLevelType w:val="hybridMultilevel"/>
    <w:tmpl w:val="244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2465F"/>
    <w:multiLevelType w:val="hybridMultilevel"/>
    <w:tmpl w:val="C750E0FA"/>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5494F"/>
    <w:multiLevelType w:val="hybridMultilevel"/>
    <w:tmpl w:val="3FA89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911FA4"/>
    <w:multiLevelType w:val="hybridMultilevel"/>
    <w:tmpl w:val="1CE60E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463607"/>
    <w:multiLevelType w:val="hybridMultilevel"/>
    <w:tmpl w:val="D8DC126C"/>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27F6B"/>
    <w:multiLevelType w:val="hybridMultilevel"/>
    <w:tmpl w:val="F3A81C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E612D"/>
    <w:multiLevelType w:val="hybridMultilevel"/>
    <w:tmpl w:val="95A8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82DE0"/>
    <w:multiLevelType w:val="hybridMultilevel"/>
    <w:tmpl w:val="64908662"/>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D0E9A"/>
    <w:multiLevelType w:val="hybridMultilevel"/>
    <w:tmpl w:val="B9A4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03A3F"/>
    <w:multiLevelType w:val="hybridMultilevel"/>
    <w:tmpl w:val="856E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E4A53"/>
    <w:multiLevelType w:val="hybridMultilevel"/>
    <w:tmpl w:val="4836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F08B6"/>
    <w:multiLevelType w:val="hybridMultilevel"/>
    <w:tmpl w:val="17C2EF32"/>
    <w:lvl w:ilvl="0" w:tplc="9612C730">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E45B5"/>
    <w:multiLevelType w:val="hybridMultilevel"/>
    <w:tmpl w:val="C994B7DC"/>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A35CB"/>
    <w:multiLevelType w:val="hybridMultilevel"/>
    <w:tmpl w:val="C504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91712"/>
    <w:multiLevelType w:val="hybridMultilevel"/>
    <w:tmpl w:val="7A68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50482"/>
    <w:multiLevelType w:val="hybridMultilevel"/>
    <w:tmpl w:val="26421646"/>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975D0"/>
    <w:multiLevelType w:val="hybridMultilevel"/>
    <w:tmpl w:val="EA44BE66"/>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B0FE1"/>
    <w:multiLevelType w:val="hybridMultilevel"/>
    <w:tmpl w:val="C2CA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374FC"/>
    <w:multiLevelType w:val="hybridMultilevel"/>
    <w:tmpl w:val="52D64108"/>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74C7A"/>
    <w:multiLevelType w:val="hybridMultilevel"/>
    <w:tmpl w:val="67C8C0EA"/>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B670A"/>
    <w:multiLevelType w:val="hybridMultilevel"/>
    <w:tmpl w:val="8926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C64A3"/>
    <w:multiLevelType w:val="hybridMultilevel"/>
    <w:tmpl w:val="2542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A4462"/>
    <w:multiLevelType w:val="hybridMultilevel"/>
    <w:tmpl w:val="365608BA"/>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06ECF"/>
    <w:multiLevelType w:val="hybridMultilevel"/>
    <w:tmpl w:val="C6D0BDF4"/>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55725"/>
    <w:multiLevelType w:val="hybridMultilevel"/>
    <w:tmpl w:val="F6A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E0DD5"/>
    <w:multiLevelType w:val="hybridMultilevel"/>
    <w:tmpl w:val="A3B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F2E3C"/>
    <w:multiLevelType w:val="hybridMultilevel"/>
    <w:tmpl w:val="BDD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73F06"/>
    <w:multiLevelType w:val="hybridMultilevel"/>
    <w:tmpl w:val="2B7EF328"/>
    <w:lvl w:ilvl="0" w:tplc="5D7CD6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610038">
    <w:abstractNumId w:val="13"/>
  </w:num>
  <w:num w:numId="2" w16cid:durableId="438331655">
    <w:abstractNumId w:val="1"/>
  </w:num>
  <w:num w:numId="3" w16cid:durableId="1446851086">
    <w:abstractNumId w:val="5"/>
  </w:num>
  <w:num w:numId="4" w16cid:durableId="1274555327">
    <w:abstractNumId w:val="35"/>
  </w:num>
  <w:num w:numId="5" w16cid:durableId="295108662">
    <w:abstractNumId w:val="24"/>
  </w:num>
  <w:num w:numId="6" w16cid:durableId="153378763">
    <w:abstractNumId w:val="11"/>
  </w:num>
  <w:num w:numId="7" w16cid:durableId="68894329">
    <w:abstractNumId w:val="32"/>
  </w:num>
  <w:num w:numId="8" w16cid:durableId="480270484">
    <w:abstractNumId w:val="25"/>
  </w:num>
  <w:num w:numId="9" w16cid:durableId="1811094842">
    <w:abstractNumId w:val="28"/>
  </w:num>
  <w:num w:numId="10" w16cid:durableId="1649017204">
    <w:abstractNumId w:val="36"/>
  </w:num>
  <w:num w:numId="11" w16cid:durableId="2091079373">
    <w:abstractNumId w:val="21"/>
  </w:num>
  <w:num w:numId="12" w16cid:durableId="1185900791">
    <w:abstractNumId w:val="6"/>
  </w:num>
  <w:num w:numId="13" w16cid:durableId="718896450">
    <w:abstractNumId w:val="9"/>
  </w:num>
  <w:num w:numId="14" w16cid:durableId="1206793834">
    <w:abstractNumId w:val="17"/>
  </w:num>
  <w:num w:numId="15" w16cid:durableId="1767849213">
    <w:abstractNumId w:val="31"/>
  </w:num>
  <w:num w:numId="16" w16cid:durableId="768280233">
    <w:abstractNumId w:val="34"/>
  </w:num>
  <w:num w:numId="17" w16cid:durableId="159809424">
    <w:abstractNumId w:val="4"/>
  </w:num>
  <w:num w:numId="18" w16cid:durableId="1708414008">
    <w:abstractNumId w:val="16"/>
  </w:num>
  <w:num w:numId="19" w16cid:durableId="539437925">
    <w:abstractNumId w:val="14"/>
  </w:num>
  <w:num w:numId="20" w16cid:durableId="1352029576">
    <w:abstractNumId w:val="37"/>
  </w:num>
  <w:num w:numId="21" w16cid:durableId="822041153">
    <w:abstractNumId w:val="19"/>
  </w:num>
  <w:num w:numId="22" w16cid:durableId="1419935655">
    <w:abstractNumId w:val="2"/>
  </w:num>
  <w:num w:numId="23" w16cid:durableId="343869876">
    <w:abstractNumId w:val="30"/>
  </w:num>
  <w:num w:numId="24" w16cid:durableId="1267956022">
    <w:abstractNumId w:val="23"/>
  </w:num>
  <w:num w:numId="25" w16cid:durableId="1678116480">
    <w:abstractNumId w:val="3"/>
  </w:num>
  <w:num w:numId="26" w16cid:durableId="928657148">
    <w:abstractNumId w:val="20"/>
  </w:num>
  <w:num w:numId="27" w16cid:durableId="1513833863">
    <w:abstractNumId w:val="8"/>
  </w:num>
  <w:num w:numId="28" w16cid:durableId="456947040">
    <w:abstractNumId w:val="12"/>
  </w:num>
  <w:num w:numId="29" w16cid:durableId="1457749740">
    <w:abstractNumId w:val="33"/>
  </w:num>
  <w:num w:numId="30" w16cid:durableId="385029721">
    <w:abstractNumId w:val="0"/>
  </w:num>
  <w:num w:numId="31" w16cid:durableId="1375622944">
    <w:abstractNumId w:val="7"/>
  </w:num>
  <w:num w:numId="32" w16cid:durableId="620110775">
    <w:abstractNumId w:val="29"/>
  </w:num>
  <w:num w:numId="33" w16cid:durableId="1367410610">
    <w:abstractNumId w:val="27"/>
  </w:num>
  <w:num w:numId="34" w16cid:durableId="694892760">
    <w:abstractNumId w:val="38"/>
  </w:num>
  <w:num w:numId="35" w16cid:durableId="510536804">
    <w:abstractNumId w:val="15"/>
  </w:num>
  <w:num w:numId="36" w16cid:durableId="1758550239">
    <w:abstractNumId w:val="18"/>
  </w:num>
  <w:num w:numId="37" w16cid:durableId="1808431864">
    <w:abstractNumId w:val="22"/>
  </w:num>
  <w:num w:numId="38" w16cid:durableId="68313103">
    <w:abstractNumId w:val="26"/>
  </w:num>
  <w:num w:numId="39" w16cid:durableId="27236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SL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74"/>
    <w:rsid w:val="00033CBB"/>
    <w:rsid w:val="00034BEF"/>
    <w:rsid w:val="00044B24"/>
    <w:rsid w:val="00064F05"/>
    <w:rsid w:val="000733D8"/>
    <w:rsid w:val="000949E9"/>
    <w:rsid w:val="000B2331"/>
    <w:rsid w:val="000B2896"/>
    <w:rsid w:val="000E18CF"/>
    <w:rsid w:val="001108D8"/>
    <w:rsid w:val="00116534"/>
    <w:rsid w:val="00120A13"/>
    <w:rsid w:val="00133976"/>
    <w:rsid w:val="00133A8F"/>
    <w:rsid w:val="00134FB6"/>
    <w:rsid w:val="00142DAE"/>
    <w:rsid w:val="001B3755"/>
    <w:rsid w:val="001C13E9"/>
    <w:rsid w:val="001E1B13"/>
    <w:rsid w:val="001E3407"/>
    <w:rsid w:val="001E6176"/>
    <w:rsid w:val="001F4F5E"/>
    <w:rsid w:val="00207D54"/>
    <w:rsid w:val="00223C91"/>
    <w:rsid w:val="0025164B"/>
    <w:rsid w:val="00251FC4"/>
    <w:rsid w:val="00260E7F"/>
    <w:rsid w:val="00284A71"/>
    <w:rsid w:val="002A3316"/>
    <w:rsid w:val="002D2AD4"/>
    <w:rsid w:val="002D68A4"/>
    <w:rsid w:val="002E1E14"/>
    <w:rsid w:val="002E49D6"/>
    <w:rsid w:val="002F0396"/>
    <w:rsid w:val="00312476"/>
    <w:rsid w:val="003177F7"/>
    <w:rsid w:val="00321D28"/>
    <w:rsid w:val="00325AA5"/>
    <w:rsid w:val="00353A12"/>
    <w:rsid w:val="0035798E"/>
    <w:rsid w:val="00363564"/>
    <w:rsid w:val="003821F7"/>
    <w:rsid w:val="00391D72"/>
    <w:rsid w:val="003A3EEA"/>
    <w:rsid w:val="003A4DEA"/>
    <w:rsid w:val="003A75DD"/>
    <w:rsid w:val="003B4C6C"/>
    <w:rsid w:val="003C4131"/>
    <w:rsid w:val="003C7333"/>
    <w:rsid w:val="003D7198"/>
    <w:rsid w:val="003F0F30"/>
    <w:rsid w:val="00405FBC"/>
    <w:rsid w:val="00422AED"/>
    <w:rsid w:val="00467BF0"/>
    <w:rsid w:val="004A2893"/>
    <w:rsid w:val="004B0758"/>
    <w:rsid w:val="004C169C"/>
    <w:rsid w:val="004D1529"/>
    <w:rsid w:val="004E02EF"/>
    <w:rsid w:val="00503E07"/>
    <w:rsid w:val="0050523F"/>
    <w:rsid w:val="005061D3"/>
    <w:rsid w:val="0051234C"/>
    <w:rsid w:val="005134DF"/>
    <w:rsid w:val="0052216E"/>
    <w:rsid w:val="00535772"/>
    <w:rsid w:val="0056602B"/>
    <w:rsid w:val="005839B9"/>
    <w:rsid w:val="005B0268"/>
    <w:rsid w:val="005D7D37"/>
    <w:rsid w:val="005F0A52"/>
    <w:rsid w:val="005F6F1B"/>
    <w:rsid w:val="00602D0C"/>
    <w:rsid w:val="00631E69"/>
    <w:rsid w:val="00633E98"/>
    <w:rsid w:val="00640135"/>
    <w:rsid w:val="006434FD"/>
    <w:rsid w:val="00684D74"/>
    <w:rsid w:val="00694D50"/>
    <w:rsid w:val="006B0BEA"/>
    <w:rsid w:val="00700A9F"/>
    <w:rsid w:val="00730F16"/>
    <w:rsid w:val="00736CCB"/>
    <w:rsid w:val="0078532B"/>
    <w:rsid w:val="00795B93"/>
    <w:rsid w:val="007A1A65"/>
    <w:rsid w:val="007A231C"/>
    <w:rsid w:val="007A652C"/>
    <w:rsid w:val="007B3BA5"/>
    <w:rsid w:val="00863730"/>
    <w:rsid w:val="00871E73"/>
    <w:rsid w:val="008772F2"/>
    <w:rsid w:val="008A361A"/>
    <w:rsid w:val="008C207E"/>
    <w:rsid w:val="008C69E3"/>
    <w:rsid w:val="008D48C4"/>
    <w:rsid w:val="0090475E"/>
    <w:rsid w:val="0090783B"/>
    <w:rsid w:val="009232F4"/>
    <w:rsid w:val="00925E6F"/>
    <w:rsid w:val="009B0319"/>
    <w:rsid w:val="00A15D3D"/>
    <w:rsid w:val="00A23508"/>
    <w:rsid w:val="00A31CD4"/>
    <w:rsid w:val="00A607A1"/>
    <w:rsid w:val="00A63568"/>
    <w:rsid w:val="00A96F64"/>
    <w:rsid w:val="00A97AD5"/>
    <w:rsid w:val="00AA2CF1"/>
    <w:rsid w:val="00AA438B"/>
    <w:rsid w:val="00AA4470"/>
    <w:rsid w:val="00B0190B"/>
    <w:rsid w:val="00B02042"/>
    <w:rsid w:val="00B0516B"/>
    <w:rsid w:val="00B0706E"/>
    <w:rsid w:val="00B14394"/>
    <w:rsid w:val="00B53D2C"/>
    <w:rsid w:val="00BA61A0"/>
    <w:rsid w:val="00BE1760"/>
    <w:rsid w:val="00BF6C1D"/>
    <w:rsid w:val="00C53CCE"/>
    <w:rsid w:val="00C84899"/>
    <w:rsid w:val="00C91305"/>
    <w:rsid w:val="00C92BA5"/>
    <w:rsid w:val="00C93E10"/>
    <w:rsid w:val="00CA0633"/>
    <w:rsid w:val="00CB3933"/>
    <w:rsid w:val="00CB70B1"/>
    <w:rsid w:val="00CB7B46"/>
    <w:rsid w:val="00CC3CFA"/>
    <w:rsid w:val="00CC4770"/>
    <w:rsid w:val="00D1163E"/>
    <w:rsid w:val="00D1746E"/>
    <w:rsid w:val="00D44BF9"/>
    <w:rsid w:val="00D44DE6"/>
    <w:rsid w:val="00D465B3"/>
    <w:rsid w:val="00D47980"/>
    <w:rsid w:val="00D91250"/>
    <w:rsid w:val="00DB2765"/>
    <w:rsid w:val="00DB2D27"/>
    <w:rsid w:val="00DD250E"/>
    <w:rsid w:val="00DD5BE9"/>
    <w:rsid w:val="00DE4011"/>
    <w:rsid w:val="00DF52E4"/>
    <w:rsid w:val="00E00F14"/>
    <w:rsid w:val="00E11108"/>
    <w:rsid w:val="00E43DB6"/>
    <w:rsid w:val="00E54C0A"/>
    <w:rsid w:val="00E621CD"/>
    <w:rsid w:val="00E91870"/>
    <w:rsid w:val="00EA56C6"/>
    <w:rsid w:val="00EB4E61"/>
    <w:rsid w:val="00EC062C"/>
    <w:rsid w:val="00ED2765"/>
    <w:rsid w:val="00EE75C3"/>
    <w:rsid w:val="00F12F06"/>
    <w:rsid w:val="00F14E53"/>
    <w:rsid w:val="00F545E9"/>
    <w:rsid w:val="00F62D54"/>
    <w:rsid w:val="00F71815"/>
    <w:rsid w:val="00F878CB"/>
    <w:rsid w:val="00F900CE"/>
    <w:rsid w:val="00FA4630"/>
    <w:rsid w:val="00FA7B14"/>
    <w:rsid w:val="00FE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2473"/>
  <w15:chartTrackingRefBased/>
  <w15:docId w15:val="{117BE62D-F95B-4FE4-A0DB-7A1AB41B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E61"/>
  </w:style>
  <w:style w:type="paragraph" w:styleId="Heading1">
    <w:name w:val="heading 1"/>
    <w:basedOn w:val="Normal"/>
    <w:next w:val="Normal"/>
    <w:link w:val="Heading1Char"/>
    <w:uiPriority w:val="9"/>
    <w:rsid w:val="00684D74"/>
    <w:pPr>
      <w:keepNext/>
      <w:keepLines/>
      <w:spacing w:before="360" w:after="80"/>
      <w:outlineLvl w:val="0"/>
    </w:pPr>
    <w:rPr>
      <w:rFonts w:asciiTheme="majorHAnsi" w:eastAsiaTheme="majorEastAsia" w:hAnsiTheme="majorHAnsi" w:cstheme="majorBidi"/>
      <w:color w:val="0D3251" w:themeColor="accent1" w:themeShade="BF"/>
      <w:sz w:val="40"/>
      <w:szCs w:val="40"/>
    </w:rPr>
  </w:style>
  <w:style w:type="paragraph" w:styleId="Heading2">
    <w:name w:val="heading 2"/>
    <w:basedOn w:val="Normal"/>
    <w:next w:val="Normal"/>
    <w:link w:val="Heading2Char"/>
    <w:uiPriority w:val="9"/>
    <w:semiHidden/>
    <w:unhideWhenUsed/>
    <w:rsid w:val="00684D74"/>
    <w:pPr>
      <w:keepNext/>
      <w:keepLines/>
      <w:spacing w:before="160" w:after="80"/>
      <w:outlineLvl w:val="1"/>
    </w:pPr>
    <w:rPr>
      <w:rFonts w:asciiTheme="majorHAnsi" w:eastAsiaTheme="majorEastAsia" w:hAnsiTheme="majorHAnsi" w:cstheme="majorBidi"/>
      <w:color w:val="0D3251" w:themeColor="accent1" w:themeShade="BF"/>
      <w:sz w:val="32"/>
      <w:szCs w:val="32"/>
    </w:rPr>
  </w:style>
  <w:style w:type="paragraph" w:styleId="Heading3">
    <w:name w:val="heading 3"/>
    <w:basedOn w:val="Normal"/>
    <w:next w:val="Normal"/>
    <w:link w:val="Heading3Char"/>
    <w:uiPriority w:val="9"/>
    <w:semiHidden/>
    <w:unhideWhenUsed/>
    <w:qFormat/>
    <w:rsid w:val="00684D74"/>
    <w:pPr>
      <w:keepNext/>
      <w:keepLines/>
      <w:spacing w:before="160" w:after="80"/>
      <w:outlineLvl w:val="2"/>
    </w:pPr>
    <w:rPr>
      <w:rFonts w:eastAsiaTheme="majorEastAsia" w:cstheme="majorBidi"/>
      <w:color w:val="0D3251" w:themeColor="accent1" w:themeShade="BF"/>
      <w:sz w:val="28"/>
      <w:szCs w:val="28"/>
    </w:rPr>
  </w:style>
  <w:style w:type="paragraph" w:styleId="Heading4">
    <w:name w:val="heading 4"/>
    <w:basedOn w:val="Normal"/>
    <w:next w:val="Normal"/>
    <w:link w:val="Heading4Char"/>
    <w:uiPriority w:val="9"/>
    <w:semiHidden/>
    <w:unhideWhenUsed/>
    <w:qFormat/>
    <w:rsid w:val="00684D74"/>
    <w:pPr>
      <w:keepNext/>
      <w:keepLines/>
      <w:spacing w:before="80" w:after="40"/>
      <w:outlineLvl w:val="3"/>
    </w:pPr>
    <w:rPr>
      <w:rFonts w:eastAsiaTheme="majorEastAsia" w:cstheme="majorBidi"/>
      <w:i/>
      <w:iCs/>
      <w:color w:val="0D3251" w:themeColor="accent1" w:themeShade="BF"/>
    </w:rPr>
  </w:style>
  <w:style w:type="paragraph" w:styleId="Heading5">
    <w:name w:val="heading 5"/>
    <w:basedOn w:val="Normal"/>
    <w:next w:val="Normal"/>
    <w:link w:val="Heading5Char"/>
    <w:uiPriority w:val="9"/>
    <w:semiHidden/>
    <w:unhideWhenUsed/>
    <w:qFormat/>
    <w:rsid w:val="00684D74"/>
    <w:pPr>
      <w:keepNext/>
      <w:keepLines/>
      <w:spacing w:before="80" w:after="40"/>
      <w:outlineLvl w:val="4"/>
    </w:pPr>
    <w:rPr>
      <w:rFonts w:eastAsiaTheme="majorEastAsia" w:cstheme="majorBidi"/>
      <w:color w:val="0D3251" w:themeColor="accent1" w:themeShade="BF"/>
    </w:rPr>
  </w:style>
  <w:style w:type="paragraph" w:styleId="Heading6">
    <w:name w:val="heading 6"/>
    <w:basedOn w:val="Normal"/>
    <w:next w:val="Normal"/>
    <w:link w:val="Heading6Char"/>
    <w:uiPriority w:val="9"/>
    <w:semiHidden/>
    <w:unhideWhenUsed/>
    <w:qFormat/>
    <w:rsid w:val="0068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034B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4BEF"/>
    <w:pPr>
      <w:spacing w:after="0" w:line="240" w:lineRule="auto"/>
    </w:pPr>
    <w:rPr>
      <w:rFonts w:ascii="Arial" w:hAnsi="Arial"/>
    </w:rPr>
    <w:tblPr>
      <w:tblStyleRowBandSize w:val="1"/>
      <w:tblStyleColBandSize w:val="1"/>
      <w:tblBorders>
        <w:top w:val="single" w:sz="4" w:space="0" w:color="3992DE" w:themeColor="accent1" w:themeTint="99"/>
        <w:left w:val="single" w:sz="4" w:space="0" w:color="3992DE" w:themeColor="accent1" w:themeTint="99"/>
        <w:bottom w:val="single" w:sz="4" w:space="0" w:color="3992DE" w:themeColor="accent1" w:themeTint="99"/>
        <w:right w:val="single" w:sz="4" w:space="0" w:color="3992DE" w:themeColor="accent1" w:themeTint="99"/>
        <w:insideH w:val="single" w:sz="4" w:space="0" w:color="3992DE" w:themeColor="accent1" w:themeTint="99"/>
        <w:insideV w:val="single" w:sz="4" w:space="0" w:color="3992DE" w:themeColor="accent1" w:themeTint="99"/>
      </w:tblBorders>
    </w:tblPr>
    <w:tcPr>
      <w:shd w:val="clear" w:color="auto" w:fill="auto"/>
    </w:tcPr>
    <w:tblStylePr w:type="firstRow">
      <w:rPr>
        <w:b/>
        <w:bCs/>
        <w:color w:val="FFFFFF" w:themeColor="background1"/>
      </w:rPr>
      <w:tblPr/>
      <w:tcPr>
        <w:tcBorders>
          <w:top w:val="single" w:sz="4" w:space="0" w:color="12436D" w:themeColor="accent1"/>
          <w:left w:val="single" w:sz="4" w:space="0" w:color="12436D" w:themeColor="accent1"/>
          <w:bottom w:val="single" w:sz="4" w:space="0" w:color="12436D" w:themeColor="accent1"/>
          <w:right w:val="single" w:sz="4" w:space="0" w:color="12436D" w:themeColor="accent1"/>
          <w:insideH w:val="nil"/>
          <w:insideV w:val="nil"/>
        </w:tcBorders>
        <w:shd w:val="clear" w:color="auto" w:fill="12436D" w:themeFill="accent1"/>
      </w:tcPr>
    </w:tblStylePr>
    <w:tblStylePr w:type="lastRow">
      <w:rPr>
        <w:b/>
        <w:bCs/>
      </w:rPr>
      <w:tblPr/>
      <w:tcPr>
        <w:tcBorders>
          <w:top w:val="double" w:sz="4" w:space="0" w:color="12436D" w:themeColor="accent1"/>
        </w:tcBorders>
      </w:tcPr>
    </w:tblStylePr>
    <w:tblStylePr w:type="firstCol">
      <w:rPr>
        <w:b/>
        <w:bCs/>
      </w:rPr>
    </w:tblStylePr>
    <w:tblStylePr w:type="lastCol">
      <w:rPr>
        <w:b/>
        <w:bCs/>
      </w:rPr>
    </w:tblStylePr>
    <w:tblStylePr w:type="band1Vert">
      <w:tblPr/>
      <w:tcPr>
        <w:shd w:val="clear" w:color="auto" w:fill="BDDAF4" w:themeFill="accent1" w:themeFillTint="33"/>
      </w:tcPr>
    </w:tblStylePr>
    <w:tblStylePr w:type="band1Horz">
      <w:tblPr/>
      <w:tcPr>
        <w:shd w:val="clear" w:color="auto" w:fill="BDDAF4" w:themeFill="accent1" w:themeFillTint="33"/>
      </w:tcPr>
    </w:tblStylePr>
  </w:style>
  <w:style w:type="table" w:styleId="GridTable4-Accent3">
    <w:name w:val="Grid Table 4 Accent 3"/>
    <w:basedOn w:val="TableNormal"/>
    <w:uiPriority w:val="49"/>
    <w:rsid w:val="00034BEF"/>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801650" w:themeColor="accent3"/>
          <w:left w:val="single" w:sz="4" w:space="0" w:color="801650" w:themeColor="accent3"/>
          <w:bottom w:val="single" w:sz="4" w:space="0" w:color="801650" w:themeColor="accent3"/>
          <w:right w:val="single" w:sz="4" w:space="0" w:color="801650" w:themeColor="accent3"/>
          <w:insideH w:val="nil"/>
          <w:insideV w:val="nil"/>
        </w:tcBorders>
        <w:shd w:val="clear" w:color="auto" w:fill="801650" w:themeFill="accent3"/>
      </w:tcPr>
    </w:tblStylePr>
    <w:tblStylePr w:type="lastRow">
      <w:rPr>
        <w:b/>
        <w:bCs/>
      </w:rPr>
      <w:tblPr/>
      <w:tcPr>
        <w:tcBorders>
          <w:top w:val="double" w:sz="4" w:space="0" w:color="801650" w:themeColor="accent3"/>
        </w:tcBorders>
      </w:tcPr>
    </w:tblStylePr>
    <w:tblStylePr w:type="firstCol">
      <w:rPr>
        <w:b/>
        <w:bCs/>
      </w:rPr>
    </w:tblStylePr>
    <w:tblStylePr w:type="lastCol">
      <w:rPr>
        <w:b/>
        <w:bCs/>
      </w:rPr>
    </w:tblStylePr>
    <w:tblStylePr w:type="band1Vert">
      <w:tblPr/>
      <w:tcPr>
        <w:shd w:val="clear" w:color="auto" w:fill="F4C1DD" w:themeFill="accent3" w:themeFillTint="33"/>
      </w:tcPr>
    </w:tblStylePr>
    <w:tblStylePr w:type="band1Horz">
      <w:tblPr/>
      <w:tcPr>
        <w:shd w:val="clear" w:color="auto" w:fill="F4C1DD" w:themeFill="accent3" w:themeFillTint="33"/>
      </w:tcPr>
    </w:tblStylePr>
  </w:style>
  <w:style w:type="table" w:styleId="ListTable7Colorful-Accent6">
    <w:name w:val="List Table 7 Colorful Accent 6"/>
    <w:basedOn w:val="TableNormal"/>
    <w:uiPriority w:val="52"/>
    <w:rsid w:val="00684D74"/>
    <w:pPr>
      <w:spacing w:after="0" w:line="240" w:lineRule="auto"/>
    </w:pPr>
    <w:rPr>
      <w:color w:val="7246B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85D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85D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85D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85D1" w:themeColor="accent6"/>
        </w:tcBorders>
        <w:shd w:val="clear" w:color="auto" w:fill="FFFFFF" w:themeFill="background1"/>
      </w:tcPr>
    </w:tblStylePr>
    <w:tblStylePr w:type="band1Vert">
      <w:tblPr/>
      <w:tcPr>
        <w:shd w:val="clear" w:color="auto" w:fill="ECE6F5" w:themeFill="accent6" w:themeFillTint="33"/>
      </w:tcPr>
    </w:tblStylePr>
    <w:tblStylePr w:type="band1Horz">
      <w:tblPr/>
      <w:tcPr>
        <w:shd w:val="clear" w:color="auto" w:fill="ECE6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B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4D74"/>
    <w:rPr>
      <w:rFonts w:asciiTheme="majorHAnsi" w:eastAsiaTheme="majorEastAsia" w:hAnsiTheme="majorHAnsi" w:cstheme="majorBidi"/>
      <w:color w:val="0D3251" w:themeColor="accent1" w:themeShade="BF"/>
      <w:sz w:val="40"/>
      <w:szCs w:val="40"/>
    </w:rPr>
  </w:style>
  <w:style w:type="character" w:customStyle="1" w:styleId="Heading2Char">
    <w:name w:val="Heading 2 Char"/>
    <w:basedOn w:val="DefaultParagraphFont"/>
    <w:link w:val="Heading2"/>
    <w:uiPriority w:val="9"/>
    <w:semiHidden/>
    <w:rsid w:val="00684D74"/>
    <w:rPr>
      <w:rFonts w:asciiTheme="majorHAnsi" w:eastAsiaTheme="majorEastAsia" w:hAnsiTheme="majorHAnsi" w:cstheme="majorBidi"/>
      <w:color w:val="0D3251" w:themeColor="accent1" w:themeShade="BF"/>
      <w:sz w:val="32"/>
      <w:szCs w:val="32"/>
    </w:rPr>
  </w:style>
  <w:style w:type="character" w:customStyle="1" w:styleId="Heading3Char">
    <w:name w:val="Heading 3 Char"/>
    <w:basedOn w:val="DefaultParagraphFont"/>
    <w:link w:val="Heading3"/>
    <w:uiPriority w:val="9"/>
    <w:semiHidden/>
    <w:rsid w:val="00684D74"/>
    <w:rPr>
      <w:rFonts w:eastAsiaTheme="majorEastAsia" w:cstheme="majorBidi"/>
      <w:color w:val="0D3251" w:themeColor="accent1" w:themeShade="BF"/>
      <w:sz w:val="28"/>
      <w:szCs w:val="28"/>
    </w:rPr>
  </w:style>
  <w:style w:type="character" w:customStyle="1" w:styleId="Heading4Char">
    <w:name w:val="Heading 4 Char"/>
    <w:basedOn w:val="DefaultParagraphFont"/>
    <w:link w:val="Heading4"/>
    <w:uiPriority w:val="9"/>
    <w:semiHidden/>
    <w:rsid w:val="00684D74"/>
    <w:rPr>
      <w:rFonts w:eastAsiaTheme="majorEastAsia" w:cstheme="majorBidi"/>
      <w:i/>
      <w:iCs/>
      <w:color w:val="0D3251" w:themeColor="accent1" w:themeShade="BF"/>
    </w:rPr>
  </w:style>
  <w:style w:type="character" w:customStyle="1" w:styleId="Heading5Char">
    <w:name w:val="Heading 5 Char"/>
    <w:basedOn w:val="DefaultParagraphFont"/>
    <w:link w:val="Heading5"/>
    <w:uiPriority w:val="9"/>
    <w:semiHidden/>
    <w:rsid w:val="00684D74"/>
    <w:rPr>
      <w:rFonts w:eastAsiaTheme="majorEastAsia" w:cstheme="majorBidi"/>
      <w:color w:val="0D3251" w:themeColor="accent1" w:themeShade="BF"/>
    </w:rPr>
  </w:style>
  <w:style w:type="character" w:customStyle="1" w:styleId="Heading6Char">
    <w:name w:val="Heading 6 Char"/>
    <w:basedOn w:val="DefaultParagraphFont"/>
    <w:link w:val="Heading6"/>
    <w:uiPriority w:val="9"/>
    <w:semiHidden/>
    <w:rsid w:val="0068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74"/>
    <w:rPr>
      <w:rFonts w:eastAsiaTheme="majorEastAsia" w:cstheme="majorBidi"/>
      <w:color w:val="272727" w:themeColor="text1" w:themeTint="D8"/>
    </w:rPr>
  </w:style>
  <w:style w:type="paragraph" w:customStyle="1" w:styleId="Header1">
    <w:name w:val="Header 1"/>
    <w:basedOn w:val="Normal"/>
    <w:link w:val="Header1Char"/>
    <w:qFormat/>
    <w:rsid w:val="00EB4E61"/>
    <w:rPr>
      <w:rFonts w:ascii="Arial" w:hAnsi="Arial" w:cs="Arial"/>
      <w:b/>
      <w:bCs/>
      <w:sz w:val="56"/>
      <w:szCs w:val="56"/>
    </w:rPr>
  </w:style>
  <w:style w:type="character" w:customStyle="1" w:styleId="Header1Char">
    <w:name w:val="Header 1 Char"/>
    <w:basedOn w:val="DefaultParagraphFont"/>
    <w:link w:val="Header1"/>
    <w:rsid w:val="00EB4E61"/>
    <w:rPr>
      <w:rFonts w:ascii="Arial" w:hAnsi="Arial" w:cs="Arial"/>
      <w:b/>
      <w:bCs/>
      <w:sz w:val="56"/>
      <w:szCs w:val="56"/>
    </w:rPr>
  </w:style>
  <w:style w:type="paragraph" w:customStyle="1" w:styleId="Body14pt">
    <w:name w:val="Body 14pt"/>
    <w:basedOn w:val="Normal"/>
    <w:link w:val="Body14ptChar"/>
    <w:qFormat/>
    <w:rsid w:val="00640135"/>
    <w:pPr>
      <w:spacing w:after="0" w:line="240" w:lineRule="auto"/>
    </w:pPr>
    <w:rPr>
      <w:rFonts w:ascii="Arial" w:eastAsia="MS Mincho" w:hAnsi="Arial" w:cs="Times New Roman"/>
      <w:kern w:val="0"/>
      <w:sz w:val="28"/>
      <w:szCs w:val="24"/>
      <w14:ligatures w14:val="none"/>
    </w:rPr>
  </w:style>
  <w:style w:type="character" w:customStyle="1" w:styleId="Body14ptChar">
    <w:name w:val="Body 14pt Char"/>
    <w:basedOn w:val="DefaultParagraphFont"/>
    <w:link w:val="Body14pt"/>
    <w:rsid w:val="00640135"/>
    <w:rPr>
      <w:rFonts w:ascii="Arial" w:eastAsia="MS Mincho" w:hAnsi="Arial" w:cs="Times New Roman"/>
      <w:color w:val="006060"/>
      <w:kern w:val="0"/>
      <w:sz w:val="28"/>
      <w:szCs w:val="24"/>
      <w14:ligatures w14:val="none"/>
    </w:rPr>
  </w:style>
  <w:style w:type="paragraph" w:styleId="Quote">
    <w:name w:val="Quote"/>
    <w:basedOn w:val="Normal"/>
    <w:next w:val="Normal"/>
    <w:link w:val="QuoteChar"/>
    <w:uiPriority w:val="29"/>
    <w:rsid w:val="00684D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D74"/>
    <w:rPr>
      <w:i/>
      <w:iCs/>
      <w:color w:val="404040" w:themeColor="text1" w:themeTint="BF"/>
    </w:rPr>
  </w:style>
  <w:style w:type="paragraph" w:styleId="ListParagraph">
    <w:name w:val="List Paragraph"/>
    <w:basedOn w:val="Normal"/>
    <w:uiPriority w:val="34"/>
    <w:rsid w:val="00684D74"/>
    <w:pPr>
      <w:ind w:left="720"/>
      <w:contextualSpacing/>
    </w:pPr>
  </w:style>
  <w:style w:type="character" w:styleId="IntenseEmphasis">
    <w:name w:val="Intense Emphasis"/>
    <w:basedOn w:val="DefaultParagraphFont"/>
    <w:uiPriority w:val="21"/>
    <w:rsid w:val="00684D74"/>
    <w:rPr>
      <w:i/>
      <w:iCs/>
      <w:color w:val="0D3251" w:themeColor="accent1" w:themeShade="BF"/>
    </w:rPr>
  </w:style>
  <w:style w:type="paragraph" w:styleId="IntenseQuote">
    <w:name w:val="Intense Quote"/>
    <w:basedOn w:val="Normal"/>
    <w:next w:val="Normal"/>
    <w:link w:val="IntenseQuoteChar"/>
    <w:uiPriority w:val="30"/>
    <w:rsid w:val="00684D74"/>
    <w:pPr>
      <w:pBdr>
        <w:top w:val="single" w:sz="4" w:space="10" w:color="0D3251" w:themeColor="accent1" w:themeShade="BF"/>
        <w:bottom w:val="single" w:sz="4" w:space="10" w:color="0D3251" w:themeColor="accent1" w:themeShade="BF"/>
      </w:pBdr>
      <w:spacing w:before="360" w:after="360"/>
      <w:ind w:left="864" w:right="864"/>
      <w:jc w:val="center"/>
    </w:pPr>
    <w:rPr>
      <w:i/>
      <w:iCs/>
      <w:color w:val="0D3251" w:themeColor="accent1" w:themeShade="BF"/>
    </w:rPr>
  </w:style>
  <w:style w:type="character" w:customStyle="1" w:styleId="IntenseQuoteChar">
    <w:name w:val="Intense Quote Char"/>
    <w:basedOn w:val="DefaultParagraphFont"/>
    <w:link w:val="IntenseQuote"/>
    <w:uiPriority w:val="30"/>
    <w:rsid w:val="00684D74"/>
    <w:rPr>
      <w:i/>
      <w:iCs/>
      <w:color w:val="0D3251" w:themeColor="accent1" w:themeShade="BF"/>
    </w:rPr>
  </w:style>
  <w:style w:type="character" w:styleId="IntenseReference">
    <w:name w:val="Intense Reference"/>
    <w:basedOn w:val="DefaultParagraphFont"/>
    <w:uiPriority w:val="32"/>
    <w:rsid w:val="00684D74"/>
    <w:rPr>
      <w:b/>
      <w:bCs/>
      <w:smallCaps/>
      <w:color w:val="0D3251" w:themeColor="accent1" w:themeShade="BF"/>
      <w:spacing w:val="5"/>
    </w:rPr>
  </w:style>
  <w:style w:type="paragraph" w:styleId="Header">
    <w:name w:val="header"/>
    <w:basedOn w:val="Normal"/>
    <w:link w:val="HeaderChar"/>
    <w:uiPriority w:val="99"/>
    <w:unhideWhenUsed/>
    <w:rsid w:val="0068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D74"/>
  </w:style>
  <w:style w:type="paragraph" w:styleId="Footer">
    <w:name w:val="footer"/>
    <w:basedOn w:val="Normal"/>
    <w:link w:val="FooterChar"/>
    <w:uiPriority w:val="99"/>
    <w:unhideWhenUsed/>
    <w:rsid w:val="0068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D74"/>
  </w:style>
  <w:style w:type="paragraph" w:customStyle="1" w:styleId="DocumentHeaderPage2">
    <w:name w:val="Document Header Page 2"/>
    <w:basedOn w:val="Normal"/>
    <w:link w:val="DocumentHeaderPage2Char"/>
    <w:qFormat/>
    <w:rsid w:val="002E1E14"/>
    <w:pPr>
      <w:spacing w:after="0" w:line="240" w:lineRule="auto"/>
      <w:jc w:val="right"/>
    </w:pPr>
    <w:rPr>
      <w:rFonts w:ascii="Arial" w:eastAsia="MS Mincho" w:hAnsi="Arial" w:cs="Times New Roman"/>
      <w:color w:val="FFFFFF" w:themeColor="background1"/>
      <w:kern w:val="0"/>
      <w:sz w:val="32"/>
      <w:szCs w:val="32"/>
      <w14:ligatures w14:val="none"/>
    </w:rPr>
  </w:style>
  <w:style w:type="character" w:customStyle="1" w:styleId="DocumentHeaderPage2Char">
    <w:name w:val="Document Header Page 2 Char"/>
    <w:basedOn w:val="DefaultParagraphFont"/>
    <w:link w:val="DocumentHeaderPage2"/>
    <w:rsid w:val="002E1E14"/>
    <w:rPr>
      <w:rFonts w:ascii="Arial" w:eastAsia="MS Mincho" w:hAnsi="Arial" w:cs="Times New Roman"/>
      <w:color w:val="FFFFFF" w:themeColor="background1"/>
      <w:kern w:val="0"/>
      <w:sz w:val="32"/>
      <w:szCs w:val="32"/>
      <w14:ligatures w14:val="none"/>
    </w:rPr>
  </w:style>
  <w:style w:type="paragraph" w:customStyle="1" w:styleId="DocumentHeaderDate">
    <w:name w:val="Document Header Date"/>
    <w:basedOn w:val="Normal"/>
    <w:link w:val="DocumentHeaderDateChar"/>
    <w:qFormat/>
    <w:rsid w:val="002E1E14"/>
    <w:pPr>
      <w:spacing w:after="0" w:line="240" w:lineRule="auto"/>
    </w:pPr>
    <w:rPr>
      <w:rFonts w:ascii="Arial" w:eastAsia="MS Mincho" w:hAnsi="Arial" w:cs="Times New Roman"/>
      <w:color w:val="FFFFFF" w:themeColor="background1"/>
      <w:kern w:val="0"/>
      <w:sz w:val="24"/>
      <w:szCs w:val="28"/>
      <w14:ligatures w14:val="none"/>
    </w:rPr>
  </w:style>
  <w:style w:type="character" w:customStyle="1" w:styleId="DocumentHeaderDateChar">
    <w:name w:val="Document Header Date Char"/>
    <w:basedOn w:val="DefaultParagraphFont"/>
    <w:link w:val="DocumentHeaderDate"/>
    <w:rsid w:val="002E1E14"/>
    <w:rPr>
      <w:rFonts w:ascii="Arial" w:eastAsia="MS Mincho" w:hAnsi="Arial" w:cs="Times New Roman"/>
      <w:color w:val="FFFFFF" w:themeColor="background1"/>
      <w:kern w:val="0"/>
      <w:sz w:val="24"/>
      <w:szCs w:val="28"/>
      <w14:ligatures w14:val="none"/>
    </w:rPr>
  </w:style>
  <w:style w:type="paragraph" w:customStyle="1" w:styleId="DocumentHeaderPage1">
    <w:name w:val="Document Header Page 1"/>
    <w:basedOn w:val="Normal"/>
    <w:link w:val="DocumentHeaderPage1Char"/>
    <w:qFormat/>
    <w:rsid w:val="00CB70B1"/>
    <w:pPr>
      <w:spacing w:after="0" w:line="240" w:lineRule="auto"/>
    </w:pPr>
    <w:rPr>
      <w:rFonts w:ascii="Arial" w:eastAsia="MS Mincho" w:hAnsi="Arial" w:cs="Times New Roman"/>
      <w:b/>
      <w:color w:val="006060"/>
      <w:kern w:val="0"/>
      <w:sz w:val="56"/>
      <w:szCs w:val="56"/>
      <w14:ligatures w14:val="none"/>
    </w:rPr>
  </w:style>
  <w:style w:type="character" w:customStyle="1" w:styleId="DocumentHeaderPage1Char">
    <w:name w:val="Document Header Page 1 Char"/>
    <w:basedOn w:val="DefaultParagraphFont"/>
    <w:link w:val="DocumentHeaderPage1"/>
    <w:rsid w:val="00CB70B1"/>
    <w:rPr>
      <w:rFonts w:ascii="Arial" w:eastAsia="MS Mincho" w:hAnsi="Arial" w:cs="Times New Roman"/>
      <w:b/>
      <w:color w:val="006060"/>
      <w:kern w:val="0"/>
      <w:sz w:val="56"/>
      <w:szCs w:val="56"/>
      <w14:ligatures w14:val="none"/>
    </w:rPr>
  </w:style>
  <w:style w:type="paragraph" w:customStyle="1" w:styleId="HeaderGreen">
    <w:name w:val="Header Green"/>
    <w:basedOn w:val="Normal"/>
    <w:link w:val="HeaderGreenChar"/>
    <w:qFormat/>
    <w:rsid w:val="002E1E14"/>
    <w:pPr>
      <w:spacing w:after="0" w:line="240" w:lineRule="auto"/>
    </w:pPr>
    <w:rPr>
      <w:rFonts w:ascii="Arial" w:eastAsia="MS Mincho" w:hAnsi="Arial" w:cs="Helvetica"/>
      <w:color w:val="006060"/>
      <w:kern w:val="0"/>
      <w:sz w:val="32"/>
      <w:szCs w:val="24"/>
      <w14:ligatures w14:val="none"/>
    </w:rPr>
  </w:style>
  <w:style w:type="character" w:customStyle="1" w:styleId="HeaderGreenChar">
    <w:name w:val="Header Green Char"/>
    <w:basedOn w:val="DefaultParagraphFont"/>
    <w:link w:val="HeaderGreen"/>
    <w:rsid w:val="002E1E14"/>
    <w:rPr>
      <w:rFonts w:ascii="Arial" w:eastAsia="MS Mincho" w:hAnsi="Arial" w:cs="Helvetica"/>
      <w:color w:val="006060"/>
      <w:kern w:val="0"/>
      <w:sz w:val="32"/>
      <w:szCs w:val="24"/>
      <w14:ligatures w14:val="none"/>
    </w:rPr>
  </w:style>
  <w:style w:type="paragraph" w:customStyle="1" w:styleId="Body12pt">
    <w:name w:val="Body 12pt"/>
    <w:basedOn w:val="Normal"/>
    <w:link w:val="Body12ptChar"/>
    <w:qFormat/>
    <w:rsid w:val="00F878CB"/>
    <w:pPr>
      <w:spacing w:after="0" w:line="240" w:lineRule="auto"/>
    </w:pPr>
    <w:rPr>
      <w:rFonts w:ascii="Arial" w:eastAsia="MS Mincho" w:hAnsi="Arial" w:cs="Arial"/>
      <w:color w:val="000000"/>
      <w:kern w:val="0"/>
      <w:sz w:val="24"/>
      <w:szCs w:val="24"/>
      <w14:ligatures w14:val="none"/>
    </w:rPr>
  </w:style>
  <w:style w:type="character" w:customStyle="1" w:styleId="Body12ptChar">
    <w:name w:val="Body 12pt Char"/>
    <w:basedOn w:val="DefaultParagraphFont"/>
    <w:link w:val="Body12pt"/>
    <w:rsid w:val="00F878CB"/>
    <w:rPr>
      <w:rFonts w:ascii="Arial" w:eastAsia="MS Mincho" w:hAnsi="Arial" w:cs="Arial"/>
      <w:color w:val="000000"/>
      <w:kern w:val="0"/>
      <w:sz w:val="24"/>
      <w:szCs w:val="24"/>
      <w14:ligatures w14:val="none"/>
    </w:rPr>
  </w:style>
  <w:style w:type="table" w:customStyle="1" w:styleId="SLCTable">
    <w:name w:val="SLC Table"/>
    <w:basedOn w:val="TableNormal"/>
    <w:uiPriority w:val="99"/>
    <w:rsid w:val="004D1529"/>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color w:val="auto"/>
      </w:rPr>
      <w:tblPr/>
      <w:tcPr>
        <w:shd w:val="clear" w:color="auto" w:fill="C7DA80"/>
      </w:tcPr>
    </w:tblStylePr>
    <w:tblStylePr w:type="band1Horz">
      <w:tblPr/>
      <w:tcPr>
        <w:shd w:val="clear" w:color="auto" w:fill="CBD2D2"/>
      </w:tcPr>
    </w:tblStylePr>
    <w:tblStylePr w:type="band2Horz">
      <w:tblPr/>
      <w:tcPr>
        <w:shd w:val="clear" w:color="auto" w:fill="E7EAEA"/>
      </w:tcPr>
    </w:tblStylePr>
  </w:style>
  <w:style w:type="paragraph" w:customStyle="1" w:styleId="Body12ptBold">
    <w:name w:val="Body 12pt Bold"/>
    <w:basedOn w:val="Body12pt"/>
    <w:link w:val="Body12ptBoldChar"/>
    <w:qFormat/>
    <w:rsid w:val="00640135"/>
    <w:rPr>
      <w:b/>
      <w:bCs/>
    </w:rPr>
  </w:style>
  <w:style w:type="character" w:customStyle="1" w:styleId="Body12ptBoldChar">
    <w:name w:val="Body 12pt Bold Char"/>
    <w:basedOn w:val="Body12ptChar"/>
    <w:link w:val="Body12ptBold"/>
    <w:rsid w:val="00640135"/>
    <w:rPr>
      <w:rFonts w:ascii="Arial" w:eastAsia="MS Mincho" w:hAnsi="Arial" w:cs="Arial"/>
      <w:b/>
      <w:bCs/>
      <w:color w:val="000000"/>
      <w:kern w:val="0"/>
      <w:sz w:val="24"/>
      <w:szCs w:val="24"/>
      <w14:ligatures w14:val="none"/>
    </w:rPr>
  </w:style>
  <w:style w:type="table" w:customStyle="1" w:styleId="Calendar1">
    <w:name w:val="Calendar 1"/>
    <w:basedOn w:val="TableNormal"/>
    <w:uiPriority w:val="99"/>
    <w:qFormat/>
    <w:rsid w:val="003C7333"/>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HyperlinkSLC">
    <w:name w:val="Hyperlink SLC"/>
    <w:basedOn w:val="Body12pt"/>
    <w:link w:val="HyperlinkSLCChar"/>
    <w:qFormat/>
    <w:rsid w:val="00DD250E"/>
    <w:rPr>
      <w:b/>
      <w:color w:val="006060" w:themeColor="text2"/>
      <w:u w:val="single"/>
    </w:rPr>
  </w:style>
  <w:style w:type="character" w:customStyle="1" w:styleId="HyperlinkSLCChar">
    <w:name w:val="Hyperlink SLC Char"/>
    <w:basedOn w:val="Body12ptChar"/>
    <w:link w:val="HyperlinkSLC"/>
    <w:rsid w:val="00DD250E"/>
    <w:rPr>
      <w:rFonts w:ascii="Arial" w:eastAsia="MS Mincho" w:hAnsi="Arial" w:cs="Arial"/>
      <w:b/>
      <w:color w:val="006060" w:themeColor="text2"/>
      <w:kern w:val="0"/>
      <w:sz w:val="24"/>
      <w:szCs w:val="24"/>
      <w:u w:val="single"/>
      <w14:ligatures w14:val="none"/>
    </w:rPr>
  </w:style>
  <w:style w:type="character" w:styleId="Hyperlink">
    <w:name w:val="Hyperlink"/>
    <w:basedOn w:val="DefaultParagraphFont"/>
    <w:uiPriority w:val="99"/>
    <w:unhideWhenUsed/>
    <w:rsid w:val="00DD250E"/>
    <w:rPr>
      <w:color w:val="005DD6" w:themeColor="hyperlink"/>
      <w:u w:val="single"/>
    </w:rPr>
  </w:style>
  <w:style w:type="character" w:styleId="UnresolvedMention">
    <w:name w:val="Unresolved Mention"/>
    <w:basedOn w:val="DefaultParagraphFont"/>
    <w:uiPriority w:val="99"/>
    <w:semiHidden/>
    <w:unhideWhenUsed/>
    <w:rsid w:val="00DD250E"/>
    <w:rPr>
      <w:color w:val="605E5C"/>
      <w:shd w:val="clear" w:color="auto" w:fill="E1DFDD"/>
    </w:rPr>
  </w:style>
  <w:style w:type="paragraph" w:styleId="Revision">
    <w:name w:val="Revision"/>
    <w:hidden/>
    <w:uiPriority w:val="99"/>
    <w:semiHidden/>
    <w:rsid w:val="009B0319"/>
    <w:pPr>
      <w:spacing w:after="0" w:line="240" w:lineRule="auto"/>
    </w:pPr>
  </w:style>
  <w:style w:type="character" w:styleId="CommentReference">
    <w:name w:val="annotation reference"/>
    <w:basedOn w:val="DefaultParagraphFont"/>
    <w:uiPriority w:val="99"/>
    <w:semiHidden/>
    <w:unhideWhenUsed/>
    <w:rsid w:val="009B0319"/>
    <w:rPr>
      <w:sz w:val="16"/>
      <w:szCs w:val="16"/>
    </w:rPr>
  </w:style>
  <w:style w:type="paragraph" w:styleId="CommentText">
    <w:name w:val="annotation text"/>
    <w:basedOn w:val="Normal"/>
    <w:link w:val="CommentTextChar"/>
    <w:uiPriority w:val="99"/>
    <w:unhideWhenUsed/>
    <w:rsid w:val="009B0319"/>
    <w:pPr>
      <w:spacing w:line="240" w:lineRule="auto"/>
    </w:pPr>
    <w:rPr>
      <w:sz w:val="20"/>
      <w:szCs w:val="20"/>
    </w:rPr>
  </w:style>
  <w:style w:type="character" w:customStyle="1" w:styleId="CommentTextChar">
    <w:name w:val="Comment Text Char"/>
    <w:basedOn w:val="DefaultParagraphFont"/>
    <w:link w:val="CommentText"/>
    <w:uiPriority w:val="99"/>
    <w:rsid w:val="009B0319"/>
    <w:rPr>
      <w:sz w:val="20"/>
      <w:szCs w:val="20"/>
    </w:rPr>
  </w:style>
  <w:style w:type="paragraph" w:styleId="CommentSubject">
    <w:name w:val="annotation subject"/>
    <w:basedOn w:val="CommentText"/>
    <w:next w:val="CommentText"/>
    <w:link w:val="CommentSubjectChar"/>
    <w:uiPriority w:val="99"/>
    <w:semiHidden/>
    <w:unhideWhenUsed/>
    <w:rsid w:val="009B0319"/>
    <w:rPr>
      <w:b/>
      <w:bCs/>
    </w:rPr>
  </w:style>
  <w:style w:type="character" w:customStyle="1" w:styleId="CommentSubjectChar">
    <w:name w:val="Comment Subject Char"/>
    <w:basedOn w:val="CommentTextChar"/>
    <w:link w:val="CommentSubject"/>
    <w:uiPriority w:val="99"/>
    <w:semiHidden/>
    <w:rsid w:val="009B0319"/>
    <w:rPr>
      <w:b/>
      <w:bCs/>
      <w:sz w:val="20"/>
      <w:szCs w:val="20"/>
    </w:rPr>
  </w:style>
  <w:style w:type="character" w:styleId="FollowedHyperlink">
    <w:name w:val="FollowedHyperlink"/>
    <w:basedOn w:val="DefaultParagraphFont"/>
    <w:uiPriority w:val="99"/>
    <w:semiHidden/>
    <w:unhideWhenUsed/>
    <w:rsid w:val="00633E98"/>
    <w:rPr>
      <w:color w:val="002E6B" w:themeColor="followedHyperlink"/>
      <w:u w:val="single"/>
    </w:rPr>
  </w:style>
  <w:style w:type="paragraph" w:styleId="TOCHeading">
    <w:name w:val="TOC Heading"/>
    <w:basedOn w:val="Heading1"/>
    <w:next w:val="Normal"/>
    <w:uiPriority w:val="39"/>
    <w:unhideWhenUsed/>
    <w:qFormat/>
    <w:rsid w:val="00AA4470"/>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614">
      <w:bodyDiv w:val="1"/>
      <w:marLeft w:val="0"/>
      <w:marRight w:val="0"/>
      <w:marTop w:val="0"/>
      <w:marBottom w:val="0"/>
      <w:divBdr>
        <w:top w:val="none" w:sz="0" w:space="0" w:color="auto"/>
        <w:left w:val="none" w:sz="0" w:space="0" w:color="auto"/>
        <w:bottom w:val="none" w:sz="0" w:space="0" w:color="auto"/>
        <w:right w:val="none" w:sz="0" w:space="0" w:color="auto"/>
      </w:divBdr>
    </w:div>
    <w:div w:id="9245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ifelong-learning-entitlement-lle-overview" TargetMode="External"/><Relationship Id="rId13" Type="http://schemas.openxmlformats.org/officeDocument/2006/relationships/hyperlink" Target="mailto:ssin_queries@slc.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P_Services@slc.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ASEvents@gov.scot" TargetMode="External"/><Relationship Id="rId5" Type="http://schemas.openxmlformats.org/officeDocument/2006/relationships/webSettings" Target="webSettings.xml"/><Relationship Id="rId15" Type="http://schemas.openxmlformats.org/officeDocument/2006/relationships/hyperlink" Target="https://www.heinfo.slc.co.uk/contact/hep-account-managers/" TargetMode="External"/><Relationship Id="rId10" Type="http://schemas.openxmlformats.org/officeDocument/2006/relationships/hyperlink" Target="https://auth.uim.slcsvc.co.uk/login?response_type=code&amp;scope=openid&amp;client_id=3lppkvq4jfbfk4r2d8hta5scon&amp;state=dQlcg1umQLJ-fMYP7RkBKRuqjfg&amp;redirect_uri=https%3A%2F%2Fsecure.heservices.slc.co.uk%2Fredirect_uri&amp;nonce=6vR5dwTpqLtUw-lywAf0Xfx_qJf0w_lL0NrM1uucZi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gulationadvice@medr.cymru" TargetMode="External"/><Relationship Id="rId14" Type="http://schemas.openxmlformats.org/officeDocument/2006/relationships/hyperlink" Target="https://www.heinfo.slc.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courses</c:v>
                </c:pt>
              </c:strCache>
            </c:strRef>
          </c:tx>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BAF6-4953-B99E-D963551036DE}"/>
              </c:ext>
            </c:extLst>
          </c:dPt>
          <c:dPt>
            <c:idx val="1"/>
            <c:invertIfNegative val="0"/>
            <c:bubble3D val="0"/>
            <c:spPr>
              <a:solidFill>
                <a:srgbClr val="92D050"/>
              </a:solidFill>
              <a:ln>
                <a:noFill/>
              </a:ln>
              <a:effectLst/>
            </c:spPr>
            <c:extLst>
              <c:ext xmlns:c16="http://schemas.microsoft.com/office/drawing/2014/chart" uri="{C3380CC4-5D6E-409C-BE32-E72D297353CC}">
                <c16:uniqueId val="{00000003-BAF6-4953-B99E-D963551036DE}"/>
              </c:ext>
            </c:extLst>
          </c:dPt>
          <c:dPt>
            <c:idx val="2"/>
            <c:invertIfNegative val="0"/>
            <c:bubble3D val="0"/>
            <c:spPr>
              <a:solidFill>
                <a:srgbClr val="92D050"/>
              </a:solidFill>
              <a:ln>
                <a:noFill/>
              </a:ln>
              <a:effectLst/>
            </c:spPr>
            <c:extLst>
              <c:ext xmlns:c16="http://schemas.microsoft.com/office/drawing/2014/chart" uri="{C3380CC4-5D6E-409C-BE32-E72D297353CC}">
                <c16:uniqueId val="{00000005-BAF6-4953-B99E-D963551036DE}"/>
              </c:ext>
            </c:extLst>
          </c:dPt>
          <c:cat>
            <c:strRef>
              <c:f>Sheet1!$A$2:$A$4</c:f>
              <c:strCache>
                <c:ptCount val="3"/>
                <c:pt idx="0">
                  <c:v>AY 24/25</c:v>
                </c:pt>
                <c:pt idx="1">
                  <c:v>AY 23/24</c:v>
                </c:pt>
                <c:pt idx="2">
                  <c:v>AY 22/23</c:v>
                </c:pt>
              </c:strCache>
            </c:strRef>
          </c:cat>
          <c:val>
            <c:numRef>
              <c:f>Sheet1!$B$2:$B$4</c:f>
              <c:numCache>
                <c:formatCode>General</c:formatCode>
                <c:ptCount val="3"/>
                <c:pt idx="0">
                  <c:v>759</c:v>
                </c:pt>
                <c:pt idx="1">
                  <c:v>305</c:v>
                </c:pt>
                <c:pt idx="2">
                  <c:v>110</c:v>
                </c:pt>
              </c:numCache>
            </c:numRef>
          </c:val>
          <c:extLst>
            <c:ext xmlns:c16="http://schemas.microsoft.com/office/drawing/2014/chart" uri="{C3380CC4-5D6E-409C-BE32-E72D297353CC}">
              <c16:uniqueId val="{00000006-BAF6-4953-B99E-D963551036DE}"/>
            </c:ext>
          </c:extLst>
        </c:ser>
        <c:dLbls>
          <c:showLegendKey val="0"/>
          <c:showVal val="0"/>
          <c:showCatName val="0"/>
          <c:showSerName val="0"/>
          <c:showPercent val="0"/>
          <c:showBubbleSize val="0"/>
        </c:dLbls>
        <c:gapWidth val="219"/>
        <c:overlap val="-27"/>
        <c:axId val="1430128703"/>
        <c:axId val="1430129663"/>
      </c:barChart>
      <c:catAx>
        <c:axId val="1430128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129663"/>
        <c:crosses val="autoZero"/>
        <c:auto val="1"/>
        <c:lblAlgn val="ctr"/>
        <c:lblOffset val="100"/>
        <c:noMultiLvlLbl val="0"/>
      </c:catAx>
      <c:valAx>
        <c:axId val="1430129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128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C Office Theme 2024">
      <a:dk1>
        <a:sysClr val="windowText" lastClr="000000"/>
      </a:dk1>
      <a:lt1>
        <a:sysClr val="window" lastClr="FFFFFF"/>
      </a:lt1>
      <a:dk2>
        <a:srgbClr val="006060"/>
      </a:dk2>
      <a:lt2>
        <a:srgbClr val="FFFFFF"/>
      </a:lt2>
      <a:accent1>
        <a:srgbClr val="12436D"/>
      </a:accent1>
      <a:accent2>
        <a:srgbClr val="28A197"/>
      </a:accent2>
      <a:accent3>
        <a:srgbClr val="801650"/>
      </a:accent3>
      <a:accent4>
        <a:srgbClr val="F46A25"/>
      </a:accent4>
      <a:accent5>
        <a:srgbClr val="3D3D3D"/>
      </a:accent5>
      <a:accent6>
        <a:srgbClr val="A285D1"/>
      </a:accent6>
      <a:hlink>
        <a:srgbClr val="005DD6"/>
      </a:hlink>
      <a:folHlink>
        <a:srgbClr val="002E6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DD3C-24B7-4085-8C27-9B8694A1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4575</Words>
  <Characters>24389</Characters>
  <Application>Microsoft Office Word</Application>
  <DocSecurity>0</DocSecurity>
  <Lines>975</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Brown</dc:creator>
  <cp:keywords/>
  <dc:description/>
  <cp:lastModifiedBy>Nicole Ferguson</cp:lastModifiedBy>
  <cp:revision>2</cp:revision>
  <dcterms:created xsi:type="dcterms:W3CDTF">2025-10-16T09:59:00Z</dcterms:created>
  <dcterms:modified xsi:type="dcterms:W3CDTF">2025-10-16T09:59:00Z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2024-10-08T14:28:48Z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03354a0e-228c-474a-9e52-cde318a28176</vt:lpwstr>
  </property>
  <property fmtid="{D5CDD505-2E9C-101B-9397-08002B2CF9AE}" pid="8" name="MSIP_Label_aa6745fb-3f26-4c57-86f8-58701135f02c_ContentBits">
    <vt:lpwstr>0</vt:lpwstr>
  </property>
</Properties>
</file>