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B998" w14:textId="09443DDF" w:rsidR="007229C2" w:rsidRDefault="007229C2" w:rsidP="00764DCB">
      <w:pPr>
        <w:pStyle w:val="Body12pt"/>
      </w:pPr>
    </w:p>
    <w:p w14:paraId="5DFE0077" w14:textId="77777777" w:rsidR="007229C2" w:rsidRDefault="007229C2" w:rsidP="007229C2">
      <w:pPr>
        <w:spacing w:after="0" w:line="259" w:lineRule="auto"/>
        <w:ind w:left="0" w:firstLine="0"/>
      </w:pPr>
      <w:r>
        <w:rPr>
          <w:sz w:val="20"/>
        </w:rPr>
        <w:t xml:space="preserve"> </w:t>
      </w:r>
      <w:r>
        <w:rPr>
          <w:sz w:val="20"/>
        </w:rPr>
        <w:tab/>
        <w:t xml:space="preserve"> </w:t>
      </w:r>
    </w:p>
    <w:p w14:paraId="7464C5FF" w14:textId="77777777" w:rsidR="007229C2" w:rsidRDefault="007229C2" w:rsidP="007229C2">
      <w:pPr>
        <w:spacing w:after="0" w:line="259" w:lineRule="auto"/>
        <w:ind w:left="0" w:firstLine="0"/>
      </w:pPr>
      <w:r>
        <w:rPr>
          <w:sz w:val="20"/>
        </w:rPr>
        <w:t xml:space="preserve"> </w:t>
      </w:r>
    </w:p>
    <w:p w14:paraId="590CAFA3" w14:textId="77777777" w:rsidR="007229C2" w:rsidRDefault="007229C2" w:rsidP="007229C2">
      <w:pPr>
        <w:spacing w:after="0" w:line="259" w:lineRule="auto"/>
        <w:ind w:left="0" w:firstLine="0"/>
      </w:pPr>
      <w:r>
        <w:rPr>
          <w:sz w:val="20"/>
        </w:rPr>
        <w:t xml:space="preserve"> </w:t>
      </w:r>
    </w:p>
    <w:p w14:paraId="56BADE8C" w14:textId="77777777" w:rsidR="007229C2" w:rsidRDefault="007229C2" w:rsidP="007229C2">
      <w:pPr>
        <w:spacing w:after="0" w:line="259" w:lineRule="auto"/>
        <w:ind w:left="0" w:firstLine="0"/>
      </w:pPr>
      <w:r>
        <w:rPr>
          <w:sz w:val="20"/>
        </w:rPr>
        <w:t xml:space="preserve"> </w:t>
      </w:r>
    </w:p>
    <w:p w14:paraId="59F894FF" w14:textId="77777777" w:rsidR="007229C2" w:rsidRDefault="007229C2" w:rsidP="007229C2">
      <w:pPr>
        <w:spacing w:after="0" w:line="259" w:lineRule="auto"/>
        <w:ind w:left="0" w:firstLine="0"/>
      </w:pPr>
      <w:r>
        <w:rPr>
          <w:sz w:val="20"/>
        </w:rPr>
        <w:t xml:space="preserve"> </w:t>
      </w:r>
    </w:p>
    <w:p w14:paraId="3078E94F" w14:textId="77777777" w:rsidR="007229C2" w:rsidRDefault="007229C2" w:rsidP="007229C2">
      <w:pPr>
        <w:spacing w:after="0" w:line="259" w:lineRule="auto"/>
        <w:ind w:left="0" w:firstLine="0"/>
      </w:pPr>
      <w:r>
        <w:rPr>
          <w:sz w:val="20"/>
        </w:rPr>
        <w:t xml:space="preserve"> </w:t>
      </w:r>
    </w:p>
    <w:p w14:paraId="299B3A0B" w14:textId="77777777" w:rsidR="007229C2" w:rsidRDefault="007229C2" w:rsidP="007229C2">
      <w:pPr>
        <w:spacing w:after="0" w:line="259" w:lineRule="auto"/>
        <w:ind w:left="0" w:firstLine="0"/>
      </w:pPr>
      <w:r>
        <w:rPr>
          <w:sz w:val="20"/>
        </w:rPr>
        <w:t xml:space="preserve"> </w:t>
      </w:r>
    </w:p>
    <w:p w14:paraId="430E7044" w14:textId="77777777" w:rsidR="007229C2" w:rsidRDefault="007229C2" w:rsidP="007229C2">
      <w:pPr>
        <w:spacing w:after="0" w:line="259" w:lineRule="auto"/>
        <w:ind w:left="0" w:firstLine="0"/>
      </w:pPr>
      <w:r>
        <w:rPr>
          <w:sz w:val="20"/>
        </w:rPr>
        <w:t xml:space="preserve"> </w:t>
      </w:r>
    </w:p>
    <w:p w14:paraId="1BF5CA5B" w14:textId="77777777" w:rsidR="007229C2" w:rsidRDefault="007229C2" w:rsidP="007229C2">
      <w:pPr>
        <w:spacing w:after="579" w:line="244" w:lineRule="auto"/>
        <w:ind w:left="0" w:right="10929" w:firstLine="0"/>
      </w:pPr>
      <w:r>
        <w:rPr>
          <w:sz w:val="20"/>
        </w:rPr>
        <w:t xml:space="preserve"> </w:t>
      </w:r>
      <w:r>
        <w:rPr>
          <w:sz w:val="19"/>
        </w:rPr>
        <w:t xml:space="preserve"> </w:t>
      </w:r>
    </w:p>
    <w:p w14:paraId="49AA67E9" w14:textId="77777777" w:rsidR="00407D85" w:rsidRDefault="007229C2" w:rsidP="006651FB">
      <w:pPr>
        <w:spacing w:after="0" w:line="259" w:lineRule="auto"/>
        <w:ind w:left="0"/>
        <w:rPr>
          <w:sz w:val="72"/>
        </w:rPr>
      </w:pPr>
      <w:r>
        <w:rPr>
          <w:sz w:val="72"/>
        </w:rPr>
        <w:t>Higher Education</w:t>
      </w:r>
    </w:p>
    <w:p w14:paraId="3F60BCE1" w14:textId="3C05E837" w:rsidR="007229C2" w:rsidRDefault="007229C2" w:rsidP="00407D85">
      <w:pPr>
        <w:spacing w:after="0" w:line="259" w:lineRule="auto"/>
        <w:ind w:left="0"/>
      </w:pPr>
      <w:r>
        <w:rPr>
          <w:sz w:val="72"/>
        </w:rPr>
        <w:t xml:space="preserve">  </w:t>
      </w:r>
    </w:p>
    <w:p w14:paraId="19C31D92" w14:textId="0C17D6B7" w:rsidR="00407D85" w:rsidRDefault="007229C2" w:rsidP="006651FB">
      <w:pPr>
        <w:spacing w:after="0" w:line="259" w:lineRule="auto"/>
        <w:ind w:left="0" w:firstLine="0"/>
        <w:rPr>
          <w:sz w:val="72"/>
        </w:rPr>
      </w:pPr>
      <w:r>
        <w:rPr>
          <w:sz w:val="72"/>
        </w:rPr>
        <w:t xml:space="preserve">LLE </w:t>
      </w:r>
      <w:r w:rsidR="00A43AC1">
        <w:rPr>
          <w:sz w:val="72"/>
        </w:rPr>
        <w:t>–</w:t>
      </w:r>
      <w:r>
        <w:rPr>
          <w:sz w:val="72"/>
        </w:rPr>
        <w:t xml:space="preserve"> </w:t>
      </w:r>
      <w:r w:rsidR="00A43AC1">
        <w:rPr>
          <w:sz w:val="72"/>
        </w:rPr>
        <w:t xml:space="preserve">Registration, </w:t>
      </w:r>
      <w:r>
        <w:rPr>
          <w:sz w:val="72"/>
        </w:rPr>
        <w:t>Attendance Management and Change of Circumstance</w:t>
      </w:r>
    </w:p>
    <w:p w14:paraId="7D3AE9F0" w14:textId="54FD701E" w:rsidR="007229C2" w:rsidRDefault="007229C2" w:rsidP="00407D85">
      <w:pPr>
        <w:spacing w:after="0" w:line="259" w:lineRule="auto"/>
        <w:ind w:left="0" w:firstLine="0"/>
      </w:pPr>
      <w:r>
        <w:rPr>
          <w:sz w:val="72"/>
        </w:rPr>
        <w:t xml:space="preserve"> </w:t>
      </w:r>
    </w:p>
    <w:p w14:paraId="0286A1A1" w14:textId="77777777" w:rsidR="00407D85" w:rsidRDefault="007229C2" w:rsidP="006651FB">
      <w:pPr>
        <w:spacing w:after="0" w:line="259" w:lineRule="auto"/>
        <w:ind w:left="0"/>
        <w:rPr>
          <w:sz w:val="72"/>
        </w:rPr>
      </w:pPr>
      <w:r>
        <w:rPr>
          <w:sz w:val="72"/>
        </w:rPr>
        <w:t>Service Definition</w:t>
      </w:r>
    </w:p>
    <w:p w14:paraId="582D9319" w14:textId="3EA95DF7" w:rsidR="007229C2" w:rsidRDefault="007229C2" w:rsidP="00407D85">
      <w:pPr>
        <w:spacing w:after="0" w:line="259" w:lineRule="auto"/>
        <w:ind w:left="0"/>
      </w:pPr>
      <w:r>
        <w:rPr>
          <w:sz w:val="72"/>
        </w:rPr>
        <w:t xml:space="preserve"> </w:t>
      </w:r>
    </w:p>
    <w:p w14:paraId="47B098BB" w14:textId="686DFB66" w:rsidR="007229C2" w:rsidRPr="00C55F2E" w:rsidRDefault="007229C2" w:rsidP="00407D85">
      <w:pPr>
        <w:pStyle w:val="Body12pt"/>
        <w:ind w:left="0"/>
        <w:rPr>
          <w:rFonts w:ascii="Calibri" w:hAnsi="Calibri" w:cs="Calibri"/>
          <w:sz w:val="36"/>
        </w:rPr>
      </w:pPr>
      <w:r w:rsidRPr="00C55F2E">
        <w:rPr>
          <w:rFonts w:ascii="Calibri" w:hAnsi="Calibri" w:cs="Calibri"/>
          <w:sz w:val="36"/>
        </w:rPr>
        <w:t xml:space="preserve">Version </w:t>
      </w:r>
      <w:r w:rsidR="00855EBF">
        <w:rPr>
          <w:rFonts w:ascii="Calibri" w:hAnsi="Calibri" w:cs="Calibri"/>
          <w:sz w:val="36"/>
        </w:rPr>
        <w:t>1.0</w:t>
      </w:r>
      <w:r w:rsidR="00425333" w:rsidRPr="00C55F2E">
        <w:rPr>
          <w:rFonts w:ascii="Calibri" w:hAnsi="Calibri" w:cs="Calibri"/>
          <w:sz w:val="36"/>
        </w:rPr>
        <w:t xml:space="preserve"> </w:t>
      </w:r>
      <w:r w:rsidRPr="00C55F2E">
        <w:rPr>
          <w:rFonts w:ascii="Calibri" w:hAnsi="Calibri" w:cs="Calibri"/>
          <w:sz w:val="36"/>
        </w:rPr>
        <w:t>– Valid from September 2026</w:t>
      </w:r>
    </w:p>
    <w:p w14:paraId="35DCDA7A" w14:textId="77777777" w:rsidR="007229C2" w:rsidRDefault="007229C2">
      <w:pPr>
        <w:spacing w:after="160" w:line="259" w:lineRule="auto"/>
        <w:ind w:left="0" w:firstLine="0"/>
        <w:rPr>
          <w:rFonts w:ascii="Arial" w:eastAsia="MS Mincho" w:hAnsi="Arial" w:cs="Arial"/>
          <w:kern w:val="0"/>
          <w:sz w:val="36"/>
          <w:lang w:eastAsia="en-US"/>
          <w14:ligatures w14:val="none"/>
        </w:rPr>
      </w:pPr>
      <w:r>
        <w:rPr>
          <w:sz w:val="36"/>
        </w:rPr>
        <w:br w:type="page"/>
      </w:r>
    </w:p>
    <w:sdt>
      <w:sdtPr>
        <w:id w:val="36166039"/>
        <w:docPartObj>
          <w:docPartGallery w:val="Table of Contents"/>
        </w:docPartObj>
      </w:sdtPr>
      <w:sdtEndPr>
        <w:rPr>
          <w:rFonts w:ascii="Arial" w:hAnsi="Arial" w:cs="Arial"/>
        </w:rPr>
      </w:sdtEndPr>
      <w:sdtContent>
        <w:p w14:paraId="430E9D3E" w14:textId="77777777" w:rsidR="009D3F68" w:rsidRDefault="009D3F68" w:rsidP="007229C2">
          <w:pPr>
            <w:spacing w:after="40" w:line="259" w:lineRule="auto"/>
            <w:ind w:left="0" w:firstLine="0"/>
          </w:pPr>
        </w:p>
        <w:p w14:paraId="6F86E106" w14:textId="77777777" w:rsidR="00280C92" w:rsidRPr="00932FAC" w:rsidRDefault="00280C92" w:rsidP="00280C92">
          <w:pPr>
            <w:rPr>
              <w:b/>
              <w:color w:val="00877C"/>
              <w:sz w:val="28"/>
              <w:szCs w:val="28"/>
            </w:rPr>
          </w:pPr>
          <w:r w:rsidRPr="00932FAC">
            <w:rPr>
              <w:b/>
              <w:color w:val="00877C"/>
              <w:sz w:val="28"/>
              <w:szCs w:val="28"/>
            </w:rPr>
            <w:t>Document Control</w:t>
          </w:r>
        </w:p>
        <w:p w14:paraId="24739992" w14:textId="77777777" w:rsidR="00280C92" w:rsidRPr="006F62EB" w:rsidRDefault="00280C92" w:rsidP="00280C92">
          <w:pPr>
            <w:rPr>
              <w:b/>
              <w:sz w:val="28"/>
              <w:szCs w:val="28"/>
            </w:rPr>
          </w:pPr>
        </w:p>
        <w:tbl>
          <w:tblPr>
            <w:tblStyle w:val="GridTable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601"/>
          </w:tblGrid>
          <w:tr w:rsidR="00280C92" w:rsidRPr="006F62EB" w14:paraId="75CCF1F4" w14:textId="77777777" w:rsidTr="009D2890">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bottom w:val="none" w:sz="0" w:space="0" w:color="auto"/>
                  <w:right w:val="none" w:sz="0" w:space="0" w:color="auto"/>
                </w:tcBorders>
                <w:shd w:val="clear" w:color="auto" w:fill="00877C"/>
                <w:vAlign w:val="center"/>
              </w:tcPr>
              <w:p w14:paraId="01D72938" w14:textId="77777777" w:rsidR="00280C92" w:rsidRPr="00932FAC" w:rsidRDefault="00280C92" w:rsidP="009D2890">
                <w:pPr>
                  <w:rPr>
                    <w:b w:val="0"/>
                    <w:bCs w:val="0"/>
                    <w:color w:val="FFFFFF" w:themeColor="background1"/>
                    <w:sz w:val="20"/>
                    <w:szCs w:val="20"/>
                  </w:rPr>
                </w:pPr>
                <w:bookmarkStart w:id="0" w:name="DocInfoTable"/>
                <w:bookmarkEnd w:id="0"/>
                <w:r w:rsidRPr="00932FAC">
                  <w:rPr>
                    <w:b w:val="0"/>
                    <w:bCs w:val="0"/>
                    <w:color w:val="FFFFFF" w:themeColor="background1"/>
                    <w:sz w:val="20"/>
                    <w:szCs w:val="20"/>
                  </w:rPr>
                  <w:t>Document Title</w:t>
                </w:r>
              </w:p>
            </w:tc>
            <w:tc>
              <w:tcPr>
                <w:tcW w:w="7440" w:type="dxa"/>
                <w:tcBorders>
                  <w:top w:val="none" w:sz="0" w:space="0" w:color="auto"/>
                  <w:left w:val="none" w:sz="0" w:space="0" w:color="auto"/>
                  <w:bottom w:val="none" w:sz="0" w:space="0" w:color="auto"/>
                </w:tcBorders>
                <w:vAlign w:val="center"/>
              </w:tcPr>
              <w:p w14:paraId="3654FF25" w14:textId="56378EB6" w:rsidR="00280C92" w:rsidRPr="00CF51CD" w:rsidRDefault="00280C92" w:rsidP="00280C92">
                <w:pPr>
                  <w:pStyle w:val="SLCReportTitle"/>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9"/>
                    <w:szCs w:val="19"/>
                  </w:rPr>
                </w:pPr>
                <w:r w:rsidRPr="00CF51CD">
                  <w:rPr>
                    <w:rFonts w:ascii="Calibri" w:hAnsi="Calibri" w:cs="Calibri"/>
                    <w:color w:val="auto"/>
                    <w:sz w:val="19"/>
                    <w:szCs w:val="19"/>
                  </w:rPr>
                  <w:t xml:space="preserve">LLE </w:t>
                </w:r>
                <w:r w:rsidR="00CF51CD" w:rsidRPr="00CF51CD">
                  <w:rPr>
                    <w:rFonts w:ascii="Calibri" w:hAnsi="Calibri" w:cs="Calibri"/>
                    <w:color w:val="auto"/>
                    <w:sz w:val="19"/>
                    <w:szCs w:val="19"/>
                  </w:rPr>
                  <w:t>–</w:t>
                </w:r>
                <w:r w:rsidRPr="00CF51CD">
                  <w:rPr>
                    <w:rFonts w:ascii="Calibri" w:hAnsi="Calibri" w:cs="Calibri"/>
                    <w:color w:val="auto"/>
                    <w:sz w:val="19"/>
                    <w:szCs w:val="19"/>
                  </w:rPr>
                  <w:t xml:space="preserve"> </w:t>
                </w:r>
                <w:r w:rsidR="00CF51CD" w:rsidRPr="00CF51CD">
                  <w:rPr>
                    <w:rFonts w:ascii="Calibri" w:hAnsi="Calibri" w:cs="Calibri"/>
                    <w:color w:val="auto"/>
                    <w:sz w:val="19"/>
                    <w:szCs w:val="19"/>
                  </w:rPr>
                  <w:t xml:space="preserve">Registration, </w:t>
                </w:r>
                <w:r w:rsidRPr="00CF51CD">
                  <w:rPr>
                    <w:rFonts w:ascii="Calibri" w:hAnsi="Calibri" w:cs="Calibri"/>
                    <w:color w:val="auto"/>
                    <w:sz w:val="19"/>
                    <w:szCs w:val="19"/>
                  </w:rPr>
                  <w:t>Attendance Management and Change of Circumstance Service Definition</w:t>
                </w:r>
              </w:p>
            </w:tc>
          </w:tr>
          <w:tr w:rsidR="00280C92" w:rsidRPr="006F62EB" w14:paraId="6C9D24E2" w14:textId="77777777" w:rsidTr="009D289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526B015F" w14:textId="77777777" w:rsidR="00280C92" w:rsidRPr="00932FAC" w:rsidRDefault="00280C92" w:rsidP="009D2890">
                <w:pPr>
                  <w:rPr>
                    <w:b w:val="0"/>
                    <w:bCs w:val="0"/>
                    <w:color w:val="FFFFFF" w:themeColor="background1"/>
                    <w:sz w:val="20"/>
                    <w:szCs w:val="20"/>
                  </w:rPr>
                </w:pPr>
                <w:r w:rsidRPr="00932FAC">
                  <w:rPr>
                    <w:b w:val="0"/>
                    <w:bCs w:val="0"/>
                    <w:color w:val="FFFFFF" w:themeColor="background1"/>
                    <w:sz w:val="20"/>
                    <w:szCs w:val="20"/>
                  </w:rPr>
                  <w:t>Owner</w:t>
                </w:r>
              </w:p>
            </w:tc>
            <w:tc>
              <w:tcPr>
                <w:tcW w:w="7440" w:type="dxa"/>
                <w:shd w:val="clear" w:color="auto" w:fill="FFFFFF" w:themeFill="background1"/>
                <w:vAlign w:val="center"/>
              </w:tcPr>
              <w:p w14:paraId="6E206A5B" w14:textId="77777777" w:rsidR="00280C92" w:rsidRPr="006F62EB" w:rsidRDefault="00280C92" w:rsidP="009D28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 Attendance Service Manager</w:t>
                </w:r>
              </w:p>
            </w:tc>
          </w:tr>
          <w:tr w:rsidR="00280C92" w:rsidRPr="006F62EB" w14:paraId="60A6708C" w14:textId="77777777" w:rsidTr="009D2890">
            <w:trPr>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639CEDCE" w14:textId="77777777" w:rsidR="00280C92" w:rsidRPr="00932FAC" w:rsidRDefault="00280C92" w:rsidP="009D2890">
                <w:pPr>
                  <w:rPr>
                    <w:b w:val="0"/>
                    <w:bCs w:val="0"/>
                    <w:color w:val="FFFFFF" w:themeColor="background1"/>
                    <w:sz w:val="20"/>
                    <w:szCs w:val="20"/>
                  </w:rPr>
                </w:pPr>
                <w:r w:rsidRPr="00932FAC">
                  <w:rPr>
                    <w:b w:val="0"/>
                    <w:bCs w:val="0"/>
                    <w:color w:val="FFFFFF" w:themeColor="background1"/>
                    <w:sz w:val="20"/>
                    <w:szCs w:val="20"/>
                  </w:rPr>
                  <w:t>Author</w:t>
                </w:r>
              </w:p>
            </w:tc>
            <w:tc>
              <w:tcPr>
                <w:tcW w:w="7440" w:type="dxa"/>
                <w:shd w:val="clear" w:color="auto" w:fill="FFFFFF" w:themeFill="background1"/>
                <w:vAlign w:val="center"/>
              </w:tcPr>
              <w:p w14:paraId="165BF3D8" w14:textId="77777777" w:rsidR="00280C92" w:rsidRPr="006F62EB" w:rsidRDefault="00280C92" w:rsidP="009D2890">
                <w:pPr>
                  <w:pStyle w:val="SLCDocStatus"/>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Jim Kersse</w:t>
                </w:r>
              </w:p>
            </w:tc>
          </w:tr>
          <w:tr w:rsidR="00280C92" w:rsidRPr="006F62EB" w14:paraId="6546B832" w14:textId="77777777" w:rsidTr="009D289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6C3884D9" w14:textId="77777777" w:rsidR="00280C92" w:rsidRPr="00932FAC" w:rsidRDefault="00280C92" w:rsidP="009D2890">
                <w:pPr>
                  <w:rPr>
                    <w:b w:val="0"/>
                    <w:bCs w:val="0"/>
                    <w:color w:val="FFFFFF" w:themeColor="background1"/>
                    <w:sz w:val="20"/>
                    <w:szCs w:val="20"/>
                  </w:rPr>
                </w:pPr>
                <w:r w:rsidRPr="00932FAC">
                  <w:rPr>
                    <w:b w:val="0"/>
                    <w:bCs w:val="0"/>
                    <w:color w:val="FFFFFF" w:themeColor="background1"/>
                    <w:sz w:val="20"/>
                    <w:szCs w:val="20"/>
                  </w:rPr>
                  <w:t>Date Drafted</w:t>
                </w:r>
              </w:p>
            </w:tc>
            <w:tc>
              <w:tcPr>
                <w:tcW w:w="7440" w:type="dxa"/>
                <w:shd w:val="clear" w:color="auto" w:fill="FFFFFF" w:themeFill="background1"/>
                <w:vAlign w:val="center"/>
              </w:tcPr>
              <w:p w14:paraId="4F4D5871" w14:textId="78D59B81" w:rsidR="00280C92" w:rsidRPr="006F62EB" w:rsidRDefault="00547543" w:rsidP="009D28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01/08/202</w:t>
                </w:r>
                <w:r w:rsidR="00952F49">
                  <w:rPr>
                    <w:sz w:val="20"/>
                    <w:szCs w:val="20"/>
                  </w:rPr>
                  <w:t>5</w:t>
                </w:r>
              </w:p>
            </w:tc>
          </w:tr>
          <w:tr w:rsidR="00280C92" w:rsidRPr="006F62EB" w14:paraId="4498C888" w14:textId="77777777" w:rsidTr="009D2890">
            <w:trPr>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65154B80" w14:textId="77777777" w:rsidR="00280C92" w:rsidRPr="00932FAC" w:rsidRDefault="00280C92" w:rsidP="009D2890">
                <w:pPr>
                  <w:rPr>
                    <w:b w:val="0"/>
                    <w:bCs w:val="0"/>
                    <w:color w:val="FFFFFF" w:themeColor="background1"/>
                    <w:sz w:val="20"/>
                    <w:szCs w:val="20"/>
                  </w:rPr>
                </w:pPr>
                <w:r w:rsidRPr="00932FAC">
                  <w:rPr>
                    <w:b w:val="0"/>
                    <w:bCs w:val="0"/>
                    <w:color w:val="FFFFFF" w:themeColor="background1"/>
                    <w:sz w:val="20"/>
                    <w:szCs w:val="20"/>
                  </w:rPr>
                  <w:t>Date Approved</w:t>
                </w:r>
              </w:p>
            </w:tc>
            <w:tc>
              <w:tcPr>
                <w:tcW w:w="7440" w:type="dxa"/>
                <w:shd w:val="clear" w:color="auto" w:fill="FFFFFF" w:themeFill="background1"/>
                <w:vAlign w:val="center"/>
              </w:tcPr>
              <w:p w14:paraId="7CFE5892" w14:textId="25EC6A59" w:rsidR="00280C92" w:rsidRPr="006F62EB" w:rsidRDefault="00855EBF" w:rsidP="009D2890">
                <w:pPr>
                  <w:pStyle w:val="SLCDocDate"/>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29/04/2026</w:t>
                </w:r>
              </w:p>
            </w:tc>
          </w:tr>
          <w:tr w:rsidR="00280C92" w:rsidRPr="006F62EB" w14:paraId="2D820C98" w14:textId="77777777" w:rsidTr="009D289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3451EE09" w14:textId="77777777" w:rsidR="00280C92" w:rsidRPr="00932FAC" w:rsidRDefault="00280C92" w:rsidP="009D2890">
                <w:pPr>
                  <w:rPr>
                    <w:b w:val="0"/>
                    <w:bCs w:val="0"/>
                    <w:color w:val="FFFFFF" w:themeColor="background1"/>
                    <w:sz w:val="20"/>
                    <w:szCs w:val="20"/>
                  </w:rPr>
                </w:pPr>
                <w:r w:rsidRPr="00932FAC">
                  <w:rPr>
                    <w:b w:val="0"/>
                    <w:bCs w:val="0"/>
                    <w:color w:val="FFFFFF" w:themeColor="background1"/>
                    <w:sz w:val="20"/>
                    <w:szCs w:val="20"/>
                  </w:rPr>
                  <w:t>Version:</w:t>
                </w:r>
              </w:p>
            </w:tc>
            <w:tc>
              <w:tcPr>
                <w:tcW w:w="7440" w:type="dxa"/>
                <w:shd w:val="clear" w:color="auto" w:fill="FFFFFF" w:themeFill="background1"/>
                <w:vAlign w:val="center"/>
              </w:tcPr>
              <w:p w14:paraId="4625A6F0" w14:textId="4255AD0F" w:rsidR="00280C92" w:rsidRPr="006F62EB" w:rsidRDefault="00855EBF" w:rsidP="009D28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r>
          <w:tr w:rsidR="00280C92" w:rsidRPr="006F62EB" w14:paraId="1D653CEF" w14:textId="77777777" w:rsidTr="009D2890">
            <w:trPr>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712A0107" w14:textId="77777777" w:rsidR="00280C92" w:rsidRPr="00932FAC" w:rsidRDefault="00280C92" w:rsidP="009D2890">
                <w:pPr>
                  <w:rPr>
                    <w:b w:val="0"/>
                    <w:bCs w:val="0"/>
                    <w:color w:val="FFFFFF" w:themeColor="background1"/>
                    <w:sz w:val="20"/>
                    <w:szCs w:val="20"/>
                  </w:rPr>
                </w:pPr>
                <w:r w:rsidRPr="00932FAC">
                  <w:rPr>
                    <w:b w:val="0"/>
                    <w:bCs w:val="0"/>
                    <w:color w:val="FFFFFF" w:themeColor="background1"/>
                    <w:sz w:val="20"/>
                    <w:szCs w:val="20"/>
                  </w:rPr>
                  <w:t>Document Status</w:t>
                </w:r>
              </w:p>
            </w:tc>
            <w:tc>
              <w:tcPr>
                <w:tcW w:w="7440" w:type="dxa"/>
                <w:shd w:val="clear" w:color="auto" w:fill="FFFFFF" w:themeFill="background1"/>
                <w:vAlign w:val="center"/>
              </w:tcPr>
              <w:p w14:paraId="73765344" w14:textId="77777777" w:rsidR="00280C92" w:rsidRPr="006F62EB" w:rsidRDefault="00280C92" w:rsidP="009D2890">
                <w:pPr>
                  <w:pStyle w:val="SLCDocStatus"/>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Active</w:t>
                </w:r>
              </w:p>
            </w:tc>
          </w:tr>
        </w:tbl>
        <w:p w14:paraId="4FDF5F96" w14:textId="77777777" w:rsidR="00280C92" w:rsidRPr="00DF0F65" w:rsidRDefault="00280C92" w:rsidP="00280C92">
          <w:pPr>
            <w:rPr>
              <w:rFonts w:cs="Arial"/>
              <w:spacing w:val="-5"/>
              <w:sz w:val="16"/>
              <w:szCs w:val="20"/>
            </w:rPr>
          </w:pPr>
        </w:p>
        <w:p w14:paraId="4762D143" w14:textId="77777777" w:rsidR="00280C92" w:rsidRDefault="00280C92" w:rsidP="00280C92">
          <w:pPr>
            <w:rPr>
              <w:b/>
              <w:color w:val="0070C0"/>
              <w:sz w:val="28"/>
              <w:szCs w:val="28"/>
            </w:rPr>
          </w:pPr>
        </w:p>
        <w:p w14:paraId="3502D407" w14:textId="77777777" w:rsidR="00280C92" w:rsidRDefault="00280C92" w:rsidP="00280C92">
          <w:pPr>
            <w:rPr>
              <w:b/>
              <w:color w:val="00877C"/>
              <w:sz w:val="28"/>
              <w:szCs w:val="28"/>
            </w:rPr>
          </w:pPr>
          <w:r w:rsidRPr="005608A0">
            <w:rPr>
              <w:b/>
              <w:color w:val="00877C"/>
              <w:sz w:val="28"/>
              <w:szCs w:val="28"/>
            </w:rPr>
            <w:t>Revision History</w:t>
          </w:r>
        </w:p>
        <w:p w14:paraId="488CDE78" w14:textId="77777777" w:rsidR="00280C92" w:rsidRPr="005608A0" w:rsidRDefault="00280C92" w:rsidP="00280C92">
          <w:pPr>
            <w:rPr>
              <w:b/>
              <w:color w:val="00877C"/>
              <w:sz w:val="28"/>
              <w:szCs w:val="28"/>
            </w:rPr>
          </w:pPr>
        </w:p>
        <w:tbl>
          <w:tblPr>
            <w:tblStyle w:val="GridTable4-Accent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959"/>
            <w:gridCol w:w="1498"/>
            <w:gridCol w:w="5664"/>
          </w:tblGrid>
          <w:tr w:rsidR="00280C92" w:rsidRPr="00C86570" w14:paraId="3D095B9C" w14:textId="77777777" w:rsidTr="009D2890">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224" w:type="dxa"/>
                <w:tcBorders>
                  <w:top w:val="none" w:sz="0" w:space="0" w:color="auto"/>
                  <w:left w:val="none" w:sz="0" w:space="0" w:color="auto"/>
                  <w:bottom w:val="none" w:sz="0" w:space="0" w:color="auto"/>
                  <w:right w:val="none" w:sz="0" w:space="0" w:color="auto"/>
                </w:tcBorders>
                <w:shd w:val="clear" w:color="auto" w:fill="00877C"/>
                <w:vAlign w:val="bottom"/>
              </w:tcPr>
              <w:p w14:paraId="5F3F77D6" w14:textId="77777777" w:rsidR="00280C92" w:rsidRPr="003769DF" w:rsidRDefault="00280C92" w:rsidP="009D2890">
                <w:pPr>
                  <w:rPr>
                    <w:bCs w:val="0"/>
                    <w:color w:val="FFFFFF" w:themeColor="background1"/>
                    <w:sz w:val="20"/>
                    <w:szCs w:val="20"/>
                  </w:rPr>
                </w:pPr>
                <w:r w:rsidRPr="003769DF">
                  <w:rPr>
                    <w:color w:val="FFFFFF" w:themeColor="background1"/>
                    <w:sz w:val="20"/>
                    <w:szCs w:val="20"/>
                  </w:rPr>
                  <w:t>Date</w:t>
                </w:r>
              </w:p>
            </w:tc>
            <w:tc>
              <w:tcPr>
                <w:tcW w:w="959" w:type="dxa"/>
                <w:tcBorders>
                  <w:top w:val="none" w:sz="0" w:space="0" w:color="auto"/>
                  <w:left w:val="none" w:sz="0" w:space="0" w:color="auto"/>
                  <w:bottom w:val="none" w:sz="0" w:space="0" w:color="auto"/>
                  <w:right w:val="none" w:sz="0" w:space="0" w:color="auto"/>
                </w:tcBorders>
                <w:shd w:val="clear" w:color="auto" w:fill="00877C"/>
                <w:vAlign w:val="bottom"/>
              </w:tcPr>
              <w:p w14:paraId="20E52935" w14:textId="77777777" w:rsidR="00280C92" w:rsidRPr="003769DF" w:rsidRDefault="00280C92" w:rsidP="009D2890">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3769DF">
                  <w:rPr>
                    <w:color w:val="FFFFFF" w:themeColor="background1"/>
                    <w:sz w:val="20"/>
                    <w:szCs w:val="20"/>
                  </w:rPr>
                  <w:t>Version</w:t>
                </w:r>
              </w:p>
            </w:tc>
            <w:tc>
              <w:tcPr>
                <w:tcW w:w="1498" w:type="dxa"/>
                <w:tcBorders>
                  <w:top w:val="none" w:sz="0" w:space="0" w:color="auto"/>
                  <w:left w:val="none" w:sz="0" w:space="0" w:color="auto"/>
                  <w:bottom w:val="none" w:sz="0" w:space="0" w:color="auto"/>
                  <w:right w:val="none" w:sz="0" w:space="0" w:color="auto"/>
                </w:tcBorders>
                <w:shd w:val="clear" w:color="auto" w:fill="00877C"/>
                <w:vAlign w:val="bottom"/>
              </w:tcPr>
              <w:p w14:paraId="126A8F47" w14:textId="77777777" w:rsidR="00280C92" w:rsidRPr="003769DF" w:rsidRDefault="00280C92" w:rsidP="009D2890">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3769DF">
                  <w:rPr>
                    <w:color w:val="FFFFFF" w:themeColor="background1"/>
                    <w:sz w:val="20"/>
                    <w:szCs w:val="20"/>
                  </w:rPr>
                  <w:t>Author</w:t>
                </w:r>
              </w:p>
            </w:tc>
            <w:tc>
              <w:tcPr>
                <w:tcW w:w="5664" w:type="dxa"/>
                <w:tcBorders>
                  <w:top w:val="none" w:sz="0" w:space="0" w:color="auto"/>
                  <w:left w:val="none" w:sz="0" w:space="0" w:color="auto"/>
                  <w:bottom w:val="none" w:sz="0" w:space="0" w:color="auto"/>
                  <w:right w:val="none" w:sz="0" w:space="0" w:color="auto"/>
                </w:tcBorders>
                <w:shd w:val="clear" w:color="auto" w:fill="00877C"/>
                <w:vAlign w:val="bottom"/>
              </w:tcPr>
              <w:p w14:paraId="1D07530A" w14:textId="77777777" w:rsidR="00280C92" w:rsidRPr="003769DF" w:rsidRDefault="00280C92" w:rsidP="009D2890">
                <w:pP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3769DF">
                  <w:rPr>
                    <w:color w:val="FFFFFF" w:themeColor="background1"/>
                    <w:sz w:val="20"/>
                    <w:szCs w:val="20"/>
                  </w:rPr>
                  <w:t>Comments</w:t>
                </w:r>
              </w:p>
            </w:tc>
          </w:tr>
          <w:tr w:rsidR="00280C92" w:rsidRPr="00C86570" w14:paraId="40362B0E" w14:textId="77777777" w:rsidTr="009D289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24" w:type="dxa"/>
                <w:shd w:val="clear" w:color="auto" w:fill="FFFFFF" w:themeFill="background1"/>
                <w:vAlign w:val="center"/>
              </w:tcPr>
              <w:p w14:paraId="2B0C3342" w14:textId="5E2492C2" w:rsidR="00280C92" w:rsidRPr="005608A0" w:rsidRDefault="00855EBF" w:rsidP="009D2890">
                <w:pPr>
                  <w:rPr>
                    <w:b w:val="0"/>
                    <w:bCs w:val="0"/>
                    <w:sz w:val="20"/>
                    <w:szCs w:val="20"/>
                  </w:rPr>
                </w:pPr>
                <w:r>
                  <w:rPr>
                    <w:b w:val="0"/>
                    <w:bCs w:val="0"/>
                    <w:sz w:val="20"/>
                    <w:szCs w:val="20"/>
                  </w:rPr>
                  <w:t>29/04/2026</w:t>
                </w:r>
              </w:p>
            </w:tc>
            <w:tc>
              <w:tcPr>
                <w:tcW w:w="959" w:type="dxa"/>
                <w:shd w:val="clear" w:color="auto" w:fill="FFFFFF" w:themeFill="background1"/>
                <w:vAlign w:val="center"/>
              </w:tcPr>
              <w:p w14:paraId="0E173EAD" w14:textId="1EFD0CB7" w:rsidR="00280C92" w:rsidRPr="005608A0" w:rsidRDefault="00855EBF" w:rsidP="009D289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1498" w:type="dxa"/>
                <w:shd w:val="clear" w:color="auto" w:fill="FFFFFF" w:themeFill="background1"/>
                <w:vAlign w:val="center"/>
              </w:tcPr>
              <w:p w14:paraId="2CCC2234" w14:textId="77777777" w:rsidR="00280C92" w:rsidRPr="005608A0" w:rsidRDefault="00280C92" w:rsidP="009D28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Jim Kersse</w:t>
                </w:r>
              </w:p>
            </w:tc>
            <w:tc>
              <w:tcPr>
                <w:tcW w:w="5664" w:type="dxa"/>
                <w:shd w:val="clear" w:color="auto" w:fill="FFFFFF" w:themeFill="background1"/>
                <w:vAlign w:val="center"/>
              </w:tcPr>
              <w:p w14:paraId="2E48F6F0" w14:textId="3C20C970" w:rsidR="00280C92" w:rsidRPr="005608A0" w:rsidRDefault="00547543" w:rsidP="009D28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First </w:t>
                </w:r>
                <w:r w:rsidR="0046194E">
                  <w:rPr>
                    <w:sz w:val="20"/>
                    <w:szCs w:val="20"/>
                  </w:rPr>
                  <w:t>version for publishing.</w:t>
                </w:r>
              </w:p>
            </w:tc>
          </w:tr>
          <w:tr w:rsidR="002E4B54" w:rsidRPr="00E93B8F" w14:paraId="320CBA27" w14:textId="77777777" w:rsidTr="009D2890">
            <w:trPr>
              <w:trHeight w:val="306"/>
            </w:trPr>
            <w:tc>
              <w:tcPr>
                <w:cnfStyle w:val="001000000000" w:firstRow="0" w:lastRow="0" w:firstColumn="1" w:lastColumn="0" w:oddVBand="0" w:evenVBand="0" w:oddHBand="0" w:evenHBand="0" w:firstRowFirstColumn="0" w:firstRowLastColumn="0" w:lastRowFirstColumn="0" w:lastRowLastColumn="0"/>
                <w:tcW w:w="1224" w:type="dxa"/>
                <w:shd w:val="clear" w:color="auto" w:fill="FFFFFF" w:themeFill="background1"/>
                <w:vAlign w:val="center"/>
              </w:tcPr>
              <w:p w14:paraId="37E3AC52" w14:textId="22F1D3FC" w:rsidR="002E4B54" w:rsidRPr="00E93B8F" w:rsidRDefault="002E4B54" w:rsidP="00DF65A8">
                <w:pPr>
                  <w:rPr>
                    <w:b w:val="0"/>
                    <w:bCs w:val="0"/>
                    <w:sz w:val="20"/>
                    <w:szCs w:val="20"/>
                  </w:rPr>
                </w:pPr>
              </w:p>
            </w:tc>
            <w:tc>
              <w:tcPr>
                <w:tcW w:w="959" w:type="dxa"/>
                <w:shd w:val="clear" w:color="auto" w:fill="FFFFFF" w:themeFill="background1"/>
                <w:vAlign w:val="center"/>
              </w:tcPr>
              <w:p w14:paraId="3456A89F" w14:textId="52F88421" w:rsidR="002E4B54" w:rsidRPr="00E93B8F" w:rsidRDefault="002E4B54" w:rsidP="00DF65A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98" w:type="dxa"/>
                <w:shd w:val="clear" w:color="auto" w:fill="FFFFFF" w:themeFill="background1"/>
                <w:vAlign w:val="center"/>
              </w:tcPr>
              <w:p w14:paraId="7B8FA5A3" w14:textId="0B839BB1" w:rsidR="002E4B54" w:rsidRPr="00E93B8F" w:rsidRDefault="002E4B54" w:rsidP="00DF65A8">
                <w:pPr>
                  <w:cnfStyle w:val="000000000000" w:firstRow="0" w:lastRow="0" w:firstColumn="0" w:lastColumn="0" w:oddVBand="0" w:evenVBand="0" w:oddHBand="0" w:evenHBand="0" w:firstRowFirstColumn="0" w:firstRowLastColumn="0" w:lastRowFirstColumn="0" w:lastRowLastColumn="0"/>
                  <w:rPr>
                    <w:sz w:val="20"/>
                    <w:szCs w:val="20"/>
                  </w:rPr>
                </w:pPr>
              </w:p>
            </w:tc>
            <w:tc>
              <w:tcPr>
                <w:tcW w:w="5664" w:type="dxa"/>
                <w:shd w:val="clear" w:color="auto" w:fill="FFFFFF" w:themeFill="background1"/>
                <w:vAlign w:val="center"/>
              </w:tcPr>
              <w:p w14:paraId="50D2622A" w14:textId="566C158D" w:rsidR="002E4B54" w:rsidRPr="00E93B8F" w:rsidRDefault="002E4B54" w:rsidP="00DF65A8">
                <w:pPr>
                  <w:cnfStyle w:val="000000000000" w:firstRow="0" w:lastRow="0" w:firstColumn="0" w:lastColumn="0" w:oddVBand="0" w:evenVBand="0" w:oddHBand="0" w:evenHBand="0" w:firstRowFirstColumn="0" w:firstRowLastColumn="0" w:lastRowFirstColumn="0" w:lastRowLastColumn="0"/>
                  <w:rPr>
                    <w:sz w:val="20"/>
                    <w:szCs w:val="20"/>
                  </w:rPr>
                </w:pPr>
              </w:p>
            </w:tc>
          </w:tr>
        </w:tbl>
        <w:p w14:paraId="40F02AD2" w14:textId="77777777" w:rsidR="00280C92" w:rsidRPr="00DF0F65" w:rsidRDefault="00280C92" w:rsidP="00280C92">
          <w:pPr>
            <w:rPr>
              <w:rFonts w:cs="Arial"/>
              <w:b/>
              <w:bCs/>
              <w:sz w:val="16"/>
              <w:szCs w:val="28"/>
            </w:rPr>
          </w:pPr>
        </w:p>
        <w:p w14:paraId="58A78FDB" w14:textId="77777777" w:rsidR="00280C92" w:rsidRDefault="00280C92" w:rsidP="00280C92">
          <w:pPr>
            <w:rPr>
              <w:b/>
              <w:color w:val="0070C0"/>
              <w:sz w:val="28"/>
              <w:szCs w:val="28"/>
            </w:rPr>
          </w:pPr>
        </w:p>
        <w:p w14:paraId="2F46AF08" w14:textId="77777777" w:rsidR="00280C92" w:rsidRDefault="00280C92" w:rsidP="00280C92">
          <w:pPr>
            <w:rPr>
              <w:b/>
              <w:color w:val="00877C"/>
              <w:sz w:val="28"/>
              <w:szCs w:val="28"/>
            </w:rPr>
          </w:pPr>
          <w:r w:rsidRPr="005608A0">
            <w:rPr>
              <w:b/>
              <w:color w:val="00877C"/>
              <w:sz w:val="28"/>
              <w:szCs w:val="28"/>
            </w:rPr>
            <w:t>Review/Approval Register</w:t>
          </w:r>
        </w:p>
        <w:p w14:paraId="45B5A404" w14:textId="77777777" w:rsidR="00280C92" w:rsidRPr="003769DF" w:rsidRDefault="00280C92" w:rsidP="00280C92">
          <w:pPr>
            <w:rPr>
              <w:b/>
              <w:color w:val="FFFFFF" w:themeColor="background1"/>
              <w:sz w:val="28"/>
              <w:szCs w:val="28"/>
            </w:rPr>
          </w:pPr>
        </w:p>
        <w:tbl>
          <w:tblPr>
            <w:tblStyle w:val="GridTable4-Accent1"/>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5268"/>
            <w:gridCol w:w="1781"/>
          </w:tblGrid>
          <w:tr w:rsidR="00280C92" w:rsidRPr="003769DF" w14:paraId="561186AA" w14:textId="77777777" w:rsidTr="00165C11">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shd w:val="clear" w:color="auto" w:fill="00877C"/>
                <w:vAlign w:val="bottom"/>
              </w:tcPr>
              <w:p w14:paraId="64620CAF" w14:textId="77777777" w:rsidR="00280C92" w:rsidRPr="003769DF" w:rsidRDefault="00280C92" w:rsidP="009D2890">
                <w:pPr>
                  <w:rPr>
                    <w:bCs w:val="0"/>
                    <w:color w:val="FFFFFF" w:themeColor="background1"/>
                    <w:sz w:val="20"/>
                    <w:szCs w:val="20"/>
                  </w:rPr>
                </w:pPr>
                <w:r w:rsidRPr="003769DF">
                  <w:rPr>
                    <w:color w:val="FFFFFF" w:themeColor="background1"/>
                    <w:sz w:val="20"/>
                    <w:szCs w:val="20"/>
                  </w:rPr>
                  <w:t>Name</w:t>
                </w:r>
              </w:p>
            </w:tc>
            <w:tc>
              <w:tcPr>
                <w:tcW w:w="5267" w:type="dxa"/>
                <w:tcBorders>
                  <w:top w:val="none" w:sz="0" w:space="0" w:color="auto"/>
                  <w:left w:val="none" w:sz="0" w:space="0" w:color="auto"/>
                  <w:bottom w:val="none" w:sz="0" w:space="0" w:color="auto"/>
                  <w:right w:val="none" w:sz="0" w:space="0" w:color="auto"/>
                </w:tcBorders>
                <w:shd w:val="clear" w:color="auto" w:fill="00877C"/>
                <w:vAlign w:val="bottom"/>
              </w:tcPr>
              <w:p w14:paraId="208D909C" w14:textId="77777777" w:rsidR="00280C92" w:rsidRPr="003769DF" w:rsidRDefault="00280C92" w:rsidP="009D2890">
                <w:pP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3769DF">
                  <w:rPr>
                    <w:color w:val="FFFFFF" w:themeColor="background1"/>
                    <w:sz w:val="20"/>
                    <w:szCs w:val="20"/>
                  </w:rPr>
                  <w:t>Position/Role</w:t>
                </w:r>
              </w:p>
            </w:tc>
            <w:tc>
              <w:tcPr>
                <w:tcW w:w="1781" w:type="dxa"/>
                <w:tcBorders>
                  <w:top w:val="none" w:sz="0" w:space="0" w:color="auto"/>
                  <w:left w:val="none" w:sz="0" w:space="0" w:color="auto"/>
                  <w:bottom w:val="none" w:sz="0" w:space="0" w:color="auto"/>
                  <w:right w:val="none" w:sz="0" w:space="0" w:color="auto"/>
                </w:tcBorders>
                <w:shd w:val="clear" w:color="auto" w:fill="00877C"/>
                <w:vAlign w:val="bottom"/>
              </w:tcPr>
              <w:p w14:paraId="71F16DE3" w14:textId="77777777" w:rsidR="00280C92" w:rsidRPr="003769DF" w:rsidRDefault="00280C92" w:rsidP="009D2890">
                <w:pP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3769DF">
                  <w:rPr>
                    <w:color w:val="FFFFFF" w:themeColor="background1"/>
                    <w:sz w:val="20"/>
                    <w:szCs w:val="20"/>
                  </w:rPr>
                  <w:t>Review/Approval</w:t>
                </w:r>
              </w:p>
            </w:tc>
          </w:tr>
          <w:tr w:rsidR="00280C92" w:rsidRPr="00C86570" w14:paraId="1B294DC4" w14:textId="77777777" w:rsidTr="00165C1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81" w:type="dxa"/>
                <w:shd w:val="clear" w:color="auto" w:fill="FFFFFF" w:themeFill="background1"/>
                <w:vAlign w:val="center"/>
              </w:tcPr>
              <w:p w14:paraId="7968027E" w14:textId="77777777" w:rsidR="00280C92" w:rsidRPr="005608A0" w:rsidRDefault="00280C92" w:rsidP="009D2890">
                <w:pPr>
                  <w:rPr>
                    <w:b w:val="0"/>
                    <w:bCs w:val="0"/>
                    <w:sz w:val="20"/>
                    <w:szCs w:val="20"/>
                  </w:rPr>
                </w:pPr>
                <w:r w:rsidRPr="005608A0">
                  <w:rPr>
                    <w:b w:val="0"/>
                    <w:bCs w:val="0"/>
                    <w:sz w:val="20"/>
                    <w:szCs w:val="20"/>
                  </w:rPr>
                  <w:t>Hugh Morrison</w:t>
                </w:r>
              </w:p>
            </w:tc>
            <w:tc>
              <w:tcPr>
                <w:tcW w:w="5269" w:type="dxa"/>
                <w:shd w:val="clear" w:color="auto" w:fill="FFFFFF" w:themeFill="background1"/>
                <w:vAlign w:val="center"/>
              </w:tcPr>
              <w:p w14:paraId="26349AB4" w14:textId="77777777" w:rsidR="00280C92" w:rsidRPr="005608A0" w:rsidRDefault="00280C92" w:rsidP="009D2890">
                <w:pPr>
                  <w:cnfStyle w:val="000000100000" w:firstRow="0" w:lastRow="0" w:firstColumn="0" w:lastColumn="0" w:oddVBand="0" w:evenVBand="0" w:oddHBand="1" w:evenHBand="0" w:firstRowFirstColumn="0" w:firstRowLastColumn="0" w:lastRowFirstColumn="0" w:lastRowLastColumn="0"/>
                  <w:rPr>
                    <w:sz w:val="20"/>
                    <w:szCs w:val="20"/>
                  </w:rPr>
                </w:pPr>
                <w:r w:rsidRPr="005608A0">
                  <w:rPr>
                    <w:sz w:val="20"/>
                    <w:szCs w:val="20"/>
                  </w:rPr>
                  <w:t>Business Services Manager – Partner Services</w:t>
                </w:r>
              </w:p>
            </w:tc>
            <w:tc>
              <w:tcPr>
                <w:tcW w:w="1780" w:type="dxa"/>
                <w:shd w:val="clear" w:color="auto" w:fill="FFFFFF" w:themeFill="background1"/>
                <w:vAlign w:val="center"/>
              </w:tcPr>
              <w:p w14:paraId="4B1FB9D7" w14:textId="77777777" w:rsidR="00280C92" w:rsidRPr="005608A0" w:rsidRDefault="00280C92" w:rsidP="009D2890">
                <w:pPr>
                  <w:cnfStyle w:val="000000100000" w:firstRow="0" w:lastRow="0" w:firstColumn="0" w:lastColumn="0" w:oddVBand="0" w:evenVBand="0" w:oddHBand="1" w:evenHBand="0" w:firstRowFirstColumn="0" w:firstRowLastColumn="0" w:lastRowFirstColumn="0" w:lastRowLastColumn="0"/>
                  <w:rPr>
                    <w:sz w:val="20"/>
                    <w:szCs w:val="20"/>
                  </w:rPr>
                </w:pPr>
                <w:r w:rsidRPr="005608A0">
                  <w:rPr>
                    <w:sz w:val="20"/>
                    <w:szCs w:val="20"/>
                  </w:rPr>
                  <w:t>Approval</w:t>
                </w:r>
              </w:p>
            </w:tc>
          </w:tr>
          <w:tr w:rsidR="00280C92" w:rsidRPr="00C86570" w14:paraId="4AFF26EC" w14:textId="77777777" w:rsidTr="00165C11">
            <w:trPr>
              <w:trHeight w:val="310"/>
            </w:trPr>
            <w:tc>
              <w:tcPr>
                <w:cnfStyle w:val="001000000000" w:firstRow="0" w:lastRow="0" w:firstColumn="1" w:lastColumn="0" w:oddVBand="0" w:evenVBand="0" w:oddHBand="0" w:evenHBand="0" w:firstRowFirstColumn="0" w:firstRowLastColumn="0" w:lastRowFirstColumn="0" w:lastRowLastColumn="0"/>
                <w:tcW w:w="2381" w:type="dxa"/>
                <w:shd w:val="clear" w:color="auto" w:fill="FFFFFF" w:themeFill="background1"/>
                <w:vAlign w:val="center"/>
              </w:tcPr>
              <w:p w14:paraId="1A9917D2" w14:textId="77777777" w:rsidR="00280C92" w:rsidRPr="005608A0" w:rsidRDefault="00280C92" w:rsidP="009D2890">
                <w:pPr>
                  <w:rPr>
                    <w:b w:val="0"/>
                    <w:bCs w:val="0"/>
                    <w:sz w:val="20"/>
                    <w:szCs w:val="20"/>
                  </w:rPr>
                </w:pPr>
                <w:r>
                  <w:rPr>
                    <w:b w:val="0"/>
                    <w:bCs w:val="0"/>
                    <w:sz w:val="20"/>
                    <w:szCs w:val="20"/>
                  </w:rPr>
                  <w:t>Rosaleen Friel</w:t>
                </w:r>
              </w:p>
            </w:tc>
            <w:tc>
              <w:tcPr>
                <w:tcW w:w="5269" w:type="dxa"/>
                <w:shd w:val="clear" w:color="auto" w:fill="FFFFFF" w:themeFill="background1"/>
                <w:vAlign w:val="center"/>
              </w:tcPr>
              <w:p w14:paraId="7E338EEE" w14:textId="77777777" w:rsidR="00280C92" w:rsidRPr="005608A0" w:rsidRDefault="00280C92" w:rsidP="009D289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Senior </w:t>
                </w:r>
                <w:r w:rsidRPr="006F62EB">
                  <w:rPr>
                    <w:sz w:val="20"/>
                    <w:szCs w:val="20"/>
                  </w:rPr>
                  <w:t xml:space="preserve">Service Manager – </w:t>
                </w:r>
                <w:r>
                  <w:rPr>
                    <w:sz w:val="20"/>
                    <w:szCs w:val="20"/>
                  </w:rPr>
                  <w:t>Partner Services</w:t>
                </w:r>
              </w:p>
            </w:tc>
            <w:tc>
              <w:tcPr>
                <w:tcW w:w="1780" w:type="dxa"/>
                <w:shd w:val="clear" w:color="auto" w:fill="FFFFFF" w:themeFill="background1"/>
                <w:vAlign w:val="center"/>
              </w:tcPr>
              <w:p w14:paraId="1AFF30C8" w14:textId="77777777" w:rsidR="00280C92" w:rsidRPr="005608A0" w:rsidRDefault="00280C92" w:rsidP="009D2890">
                <w:pPr>
                  <w:cnfStyle w:val="000000000000" w:firstRow="0" w:lastRow="0" w:firstColumn="0" w:lastColumn="0" w:oddVBand="0" w:evenVBand="0" w:oddHBand="0" w:evenHBand="0" w:firstRowFirstColumn="0" w:firstRowLastColumn="0" w:lastRowFirstColumn="0" w:lastRowLastColumn="0"/>
                  <w:rPr>
                    <w:sz w:val="20"/>
                    <w:szCs w:val="20"/>
                  </w:rPr>
                </w:pPr>
                <w:r w:rsidRPr="006F62EB">
                  <w:rPr>
                    <w:sz w:val="20"/>
                    <w:szCs w:val="20"/>
                  </w:rPr>
                  <w:t>Review</w:t>
                </w:r>
                <w:r>
                  <w:rPr>
                    <w:sz w:val="20"/>
                    <w:szCs w:val="20"/>
                  </w:rPr>
                  <w:t xml:space="preserve"> / Approval</w:t>
                </w:r>
              </w:p>
            </w:tc>
          </w:tr>
          <w:tr w:rsidR="00280C92" w:rsidRPr="00C86570" w14:paraId="7EA51996" w14:textId="77777777" w:rsidTr="00165C1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81" w:type="dxa"/>
                <w:shd w:val="clear" w:color="auto" w:fill="FFFFFF" w:themeFill="background1"/>
                <w:vAlign w:val="center"/>
              </w:tcPr>
              <w:p w14:paraId="39850367" w14:textId="6479BCDF" w:rsidR="00280C92" w:rsidRPr="00941BDF" w:rsidRDefault="00941BDF" w:rsidP="009D2890">
                <w:pPr>
                  <w:rPr>
                    <w:b w:val="0"/>
                    <w:bCs w:val="0"/>
                    <w:sz w:val="20"/>
                    <w:szCs w:val="20"/>
                  </w:rPr>
                </w:pPr>
                <w:r w:rsidRPr="00941BDF">
                  <w:rPr>
                    <w:b w:val="0"/>
                    <w:bCs w:val="0"/>
                    <w:sz w:val="20"/>
                    <w:szCs w:val="20"/>
                  </w:rPr>
                  <w:t>Policy Team</w:t>
                </w:r>
              </w:p>
            </w:tc>
            <w:tc>
              <w:tcPr>
                <w:tcW w:w="5269" w:type="dxa"/>
                <w:shd w:val="clear" w:color="auto" w:fill="FFFFFF" w:themeFill="background1"/>
                <w:vAlign w:val="center"/>
              </w:tcPr>
              <w:p w14:paraId="3EE04DD3" w14:textId="77777777" w:rsidR="00280C92" w:rsidRPr="005608A0" w:rsidRDefault="00280C92" w:rsidP="009D2890">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1780" w:type="dxa"/>
                <w:shd w:val="clear" w:color="auto" w:fill="FFFFFF" w:themeFill="background1"/>
                <w:vAlign w:val="center"/>
              </w:tcPr>
              <w:p w14:paraId="3E167577" w14:textId="4271C1A2" w:rsidR="00280C92" w:rsidRPr="00952F49" w:rsidRDefault="00952F49" w:rsidP="009D2890">
                <w:pPr>
                  <w:cnfStyle w:val="000000100000" w:firstRow="0" w:lastRow="0" w:firstColumn="0" w:lastColumn="0" w:oddVBand="0" w:evenVBand="0" w:oddHBand="1" w:evenHBand="0" w:firstRowFirstColumn="0" w:firstRowLastColumn="0" w:lastRowFirstColumn="0" w:lastRowLastColumn="0"/>
                  <w:rPr>
                    <w:sz w:val="20"/>
                    <w:szCs w:val="20"/>
                  </w:rPr>
                </w:pPr>
                <w:r w:rsidRPr="00952F49">
                  <w:rPr>
                    <w:sz w:val="20"/>
                    <w:szCs w:val="20"/>
                  </w:rPr>
                  <w:t>Review</w:t>
                </w:r>
                <w:r w:rsidR="00165C11">
                  <w:rPr>
                    <w:sz w:val="20"/>
                    <w:szCs w:val="20"/>
                  </w:rPr>
                  <w:t xml:space="preserve"> / Approval</w:t>
                </w:r>
              </w:p>
            </w:tc>
          </w:tr>
          <w:tr w:rsidR="005A3E64" w:rsidRPr="00C86570" w14:paraId="3C3B1A92" w14:textId="77777777" w:rsidTr="00165C11">
            <w:trPr>
              <w:trHeight w:val="310"/>
            </w:trPr>
            <w:tc>
              <w:tcPr>
                <w:cnfStyle w:val="001000000000" w:firstRow="0" w:lastRow="0" w:firstColumn="1" w:lastColumn="0" w:oddVBand="0" w:evenVBand="0" w:oddHBand="0" w:evenHBand="0" w:firstRowFirstColumn="0" w:firstRowLastColumn="0" w:lastRowFirstColumn="0" w:lastRowLastColumn="0"/>
                <w:tcW w:w="2381" w:type="dxa"/>
                <w:shd w:val="clear" w:color="auto" w:fill="FFFFFF" w:themeFill="background1"/>
                <w:vAlign w:val="center"/>
              </w:tcPr>
              <w:p w14:paraId="48F5E7C1" w14:textId="31022848" w:rsidR="005A3E64" w:rsidRPr="005A3E64" w:rsidRDefault="005A3E64" w:rsidP="009D2890">
                <w:pPr>
                  <w:rPr>
                    <w:b w:val="0"/>
                    <w:bCs w:val="0"/>
                    <w:sz w:val="20"/>
                    <w:szCs w:val="20"/>
                  </w:rPr>
                </w:pPr>
                <w:r w:rsidRPr="005A3E64">
                  <w:rPr>
                    <w:b w:val="0"/>
                    <w:bCs w:val="0"/>
                    <w:sz w:val="20"/>
                    <w:szCs w:val="20"/>
                  </w:rPr>
                  <w:t>Department for Education</w:t>
                </w:r>
              </w:p>
            </w:tc>
            <w:tc>
              <w:tcPr>
                <w:tcW w:w="5269" w:type="dxa"/>
                <w:shd w:val="clear" w:color="auto" w:fill="FFFFFF" w:themeFill="background1"/>
                <w:vAlign w:val="center"/>
              </w:tcPr>
              <w:p w14:paraId="1CC8C410" w14:textId="77777777" w:rsidR="005A3E64" w:rsidRPr="005608A0" w:rsidRDefault="005A3E64" w:rsidP="009D2890">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1780" w:type="dxa"/>
                <w:shd w:val="clear" w:color="auto" w:fill="FFFFFF" w:themeFill="background1"/>
                <w:vAlign w:val="center"/>
              </w:tcPr>
              <w:p w14:paraId="5D165155" w14:textId="7F9F3F15" w:rsidR="005A3E64" w:rsidRPr="00952F49" w:rsidRDefault="005A3E64" w:rsidP="009D289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w:t>
                </w:r>
              </w:p>
            </w:tc>
          </w:tr>
          <w:tr w:rsidR="00280C92" w:rsidRPr="00C86570" w14:paraId="4ED83C7A" w14:textId="77777777" w:rsidTr="00165C1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81" w:type="dxa"/>
                <w:shd w:val="clear" w:color="auto" w:fill="FFFFFF" w:themeFill="background1"/>
                <w:vAlign w:val="center"/>
              </w:tcPr>
              <w:p w14:paraId="1ED39B03" w14:textId="3220352D" w:rsidR="00280C92" w:rsidRPr="00952F49" w:rsidRDefault="00952F49" w:rsidP="009D2890">
                <w:pPr>
                  <w:rPr>
                    <w:b w:val="0"/>
                    <w:bCs w:val="0"/>
                    <w:sz w:val="20"/>
                    <w:szCs w:val="20"/>
                  </w:rPr>
                </w:pPr>
                <w:r w:rsidRPr="00952F49">
                  <w:rPr>
                    <w:b w:val="0"/>
                    <w:bCs w:val="0"/>
                    <w:sz w:val="20"/>
                    <w:szCs w:val="20"/>
                  </w:rPr>
                  <w:t>LLE Product Lead</w:t>
                </w:r>
              </w:p>
            </w:tc>
            <w:tc>
              <w:tcPr>
                <w:tcW w:w="5269" w:type="dxa"/>
                <w:shd w:val="clear" w:color="auto" w:fill="FFFFFF" w:themeFill="background1"/>
                <w:vAlign w:val="center"/>
              </w:tcPr>
              <w:p w14:paraId="36EE7DF5" w14:textId="77777777" w:rsidR="00280C92" w:rsidRPr="006F62EB" w:rsidRDefault="00280C92" w:rsidP="009D2890">
                <w:pPr>
                  <w:cnfStyle w:val="000000100000" w:firstRow="0" w:lastRow="0" w:firstColumn="0" w:lastColumn="0" w:oddVBand="0" w:evenVBand="0" w:oddHBand="1" w:evenHBand="0" w:firstRowFirstColumn="0" w:firstRowLastColumn="0" w:lastRowFirstColumn="0" w:lastRowLastColumn="0"/>
                  <w:rPr>
                    <w:sz w:val="20"/>
                    <w:szCs w:val="20"/>
                  </w:rPr>
                </w:pPr>
              </w:p>
            </w:tc>
            <w:tc>
              <w:tcPr>
                <w:tcW w:w="1780" w:type="dxa"/>
                <w:shd w:val="clear" w:color="auto" w:fill="FFFFFF" w:themeFill="background1"/>
                <w:vAlign w:val="center"/>
              </w:tcPr>
              <w:p w14:paraId="7662FEDC" w14:textId="70D62C55" w:rsidR="00280C92" w:rsidRPr="006F62EB" w:rsidRDefault="00952F49" w:rsidP="009D2890">
                <w:pPr>
                  <w:cnfStyle w:val="000000100000" w:firstRow="0" w:lastRow="0" w:firstColumn="0" w:lastColumn="0" w:oddVBand="0" w:evenVBand="0" w:oddHBand="1" w:evenHBand="0" w:firstRowFirstColumn="0" w:firstRowLastColumn="0" w:lastRowFirstColumn="0" w:lastRowLastColumn="0"/>
                  <w:rPr>
                    <w:sz w:val="20"/>
                    <w:szCs w:val="20"/>
                  </w:rPr>
                </w:pPr>
                <w:r w:rsidRPr="00952F49">
                  <w:rPr>
                    <w:sz w:val="20"/>
                    <w:szCs w:val="20"/>
                  </w:rPr>
                  <w:t>Review</w:t>
                </w:r>
              </w:p>
            </w:tc>
          </w:tr>
        </w:tbl>
        <w:p w14:paraId="4E6A3FC2" w14:textId="77777777" w:rsidR="009D3F68" w:rsidRDefault="009D3F68">
          <w:pPr>
            <w:spacing w:after="160" w:line="259" w:lineRule="auto"/>
            <w:ind w:left="0" w:firstLine="0"/>
          </w:pPr>
          <w:r>
            <w:br w:type="page"/>
          </w:r>
        </w:p>
        <w:p w14:paraId="0AC71410" w14:textId="22B32A4B" w:rsidR="007229C2" w:rsidRPr="00E42A03" w:rsidRDefault="007229C2" w:rsidP="00E42A03">
          <w:pPr>
            <w:spacing w:after="30" w:line="259" w:lineRule="auto"/>
            <w:ind w:left="0" w:firstLine="0"/>
          </w:pPr>
          <w:r w:rsidRPr="00E42A03">
            <w:rPr>
              <w:b/>
            </w:rPr>
            <w:lastRenderedPageBreak/>
            <w:t>Contents</w:t>
          </w:r>
          <w:r w:rsidRPr="00E42A03">
            <w:rPr>
              <w:b/>
              <w:color w:val="365F91"/>
            </w:rPr>
            <w:t xml:space="preserve"> </w:t>
          </w:r>
        </w:p>
        <w:p w14:paraId="7A5C6AB0" w14:textId="2C6272A4" w:rsidR="00E42A03" w:rsidRPr="00E42A03" w:rsidRDefault="007229C2" w:rsidP="00E42A03">
          <w:pPr>
            <w:pStyle w:val="TOC1"/>
            <w:tabs>
              <w:tab w:val="right" w:leader="dot" w:pos="9628"/>
            </w:tabs>
            <w:spacing w:after="30"/>
            <w:rPr>
              <w:rFonts w:asciiTheme="minorHAnsi" w:eastAsiaTheme="minorEastAsia" w:hAnsiTheme="minorHAnsi" w:cstheme="minorBidi"/>
              <w:noProof/>
              <w:color w:val="auto"/>
              <w:sz w:val="24"/>
            </w:rPr>
          </w:pPr>
          <w:r w:rsidRPr="00E42A03">
            <w:rPr>
              <w:sz w:val="24"/>
            </w:rPr>
            <w:fldChar w:fldCharType="begin"/>
          </w:r>
          <w:r w:rsidRPr="00E42A03">
            <w:rPr>
              <w:sz w:val="24"/>
            </w:rPr>
            <w:instrText xml:space="preserve"> TOC \o "1-2" \h \z \u </w:instrText>
          </w:r>
          <w:r w:rsidRPr="00E42A03">
            <w:rPr>
              <w:sz w:val="24"/>
            </w:rPr>
            <w:fldChar w:fldCharType="separate"/>
          </w:r>
          <w:hyperlink w:anchor="_Toc225775734" w:history="1">
            <w:r w:rsidR="00E42A03" w:rsidRPr="00E42A03">
              <w:rPr>
                <w:rStyle w:val="Hyperlink"/>
                <w:noProof/>
                <w:sz w:val="24"/>
              </w:rPr>
              <w:t>List of terms</w:t>
            </w:r>
            <w:r w:rsidR="00E42A03" w:rsidRPr="00E42A03">
              <w:rPr>
                <w:noProof/>
                <w:webHidden/>
                <w:sz w:val="24"/>
              </w:rPr>
              <w:tab/>
            </w:r>
            <w:r w:rsidR="00E42A03" w:rsidRPr="00E42A03">
              <w:rPr>
                <w:noProof/>
                <w:webHidden/>
                <w:sz w:val="24"/>
              </w:rPr>
              <w:fldChar w:fldCharType="begin"/>
            </w:r>
            <w:r w:rsidR="00E42A03" w:rsidRPr="00E42A03">
              <w:rPr>
                <w:noProof/>
                <w:webHidden/>
                <w:sz w:val="24"/>
              </w:rPr>
              <w:instrText xml:space="preserve"> PAGEREF _Toc225775734 \h </w:instrText>
            </w:r>
            <w:r w:rsidR="00E42A03" w:rsidRPr="00E42A03">
              <w:rPr>
                <w:noProof/>
                <w:webHidden/>
                <w:sz w:val="24"/>
              </w:rPr>
            </w:r>
            <w:r w:rsidR="00E42A03" w:rsidRPr="00E42A03">
              <w:rPr>
                <w:noProof/>
                <w:webHidden/>
                <w:sz w:val="24"/>
              </w:rPr>
              <w:fldChar w:fldCharType="separate"/>
            </w:r>
            <w:r w:rsidR="00CA1AAC">
              <w:rPr>
                <w:noProof/>
                <w:webHidden/>
                <w:sz w:val="24"/>
              </w:rPr>
              <w:t>4</w:t>
            </w:r>
            <w:r w:rsidR="00E42A03" w:rsidRPr="00E42A03">
              <w:rPr>
                <w:noProof/>
                <w:webHidden/>
                <w:sz w:val="24"/>
              </w:rPr>
              <w:fldChar w:fldCharType="end"/>
            </w:r>
          </w:hyperlink>
        </w:p>
        <w:p w14:paraId="4675CCB6" w14:textId="1CA1B2B2"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35" w:history="1">
            <w:r w:rsidRPr="00E42A03">
              <w:rPr>
                <w:rStyle w:val="Hyperlink"/>
                <w:noProof/>
                <w:sz w:val="24"/>
              </w:rPr>
              <w:t>Service overview</w:t>
            </w:r>
            <w:r w:rsidRPr="00E42A03">
              <w:rPr>
                <w:noProof/>
                <w:webHidden/>
                <w:sz w:val="24"/>
              </w:rPr>
              <w:tab/>
            </w:r>
            <w:r w:rsidRPr="00E42A03">
              <w:rPr>
                <w:noProof/>
                <w:webHidden/>
                <w:sz w:val="24"/>
              </w:rPr>
              <w:fldChar w:fldCharType="begin"/>
            </w:r>
            <w:r w:rsidRPr="00E42A03">
              <w:rPr>
                <w:noProof/>
                <w:webHidden/>
                <w:sz w:val="24"/>
              </w:rPr>
              <w:instrText xml:space="preserve"> PAGEREF _Toc225775735 \h </w:instrText>
            </w:r>
            <w:r w:rsidRPr="00E42A03">
              <w:rPr>
                <w:noProof/>
                <w:webHidden/>
                <w:sz w:val="24"/>
              </w:rPr>
            </w:r>
            <w:r w:rsidRPr="00E42A03">
              <w:rPr>
                <w:noProof/>
                <w:webHidden/>
                <w:sz w:val="24"/>
              </w:rPr>
              <w:fldChar w:fldCharType="separate"/>
            </w:r>
            <w:r w:rsidR="00CA1AAC">
              <w:rPr>
                <w:noProof/>
                <w:webHidden/>
                <w:sz w:val="24"/>
              </w:rPr>
              <w:t>5</w:t>
            </w:r>
            <w:r w:rsidRPr="00E42A03">
              <w:rPr>
                <w:noProof/>
                <w:webHidden/>
                <w:sz w:val="24"/>
              </w:rPr>
              <w:fldChar w:fldCharType="end"/>
            </w:r>
          </w:hyperlink>
        </w:p>
        <w:p w14:paraId="303B35D0" w14:textId="7C99BABE"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36" w:history="1">
            <w:r w:rsidRPr="00E42A03">
              <w:rPr>
                <w:rStyle w:val="Hyperlink"/>
                <w:noProof/>
                <w:sz w:val="24"/>
              </w:rPr>
              <w:t>HEP responsibilities and terms of usage</w:t>
            </w:r>
            <w:r w:rsidRPr="00E42A03">
              <w:rPr>
                <w:noProof/>
                <w:webHidden/>
                <w:sz w:val="24"/>
              </w:rPr>
              <w:tab/>
            </w:r>
            <w:r w:rsidRPr="00E42A03">
              <w:rPr>
                <w:noProof/>
                <w:webHidden/>
                <w:sz w:val="24"/>
              </w:rPr>
              <w:fldChar w:fldCharType="begin"/>
            </w:r>
            <w:r w:rsidRPr="00E42A03">
              <w:rPr>
                <w:noProof/>
                <w:webHidden/>
                <w:sz w:val="24"/>
              </w:rPr>
              <w:instrText xml:space="preserve"> PAGEREF _Toc225775736 \h </w:instrText>
            </w:r>
            <w:r w:rsidRPr="00E42A03">
              <w:rPr>
                <w:noProof/>
                <w:webHidden/>
                <w:sz w:val="24"/>
              </w:rPr>
            </w:r>
            <w:r w:rsidRPr="00E42A03">
              <w:rPr>
                <w:noProof/>
                <w:webHidden/>
                <w:sz w:val="24"/>
              </w:rPr>
              <w:fldChar w:fldCharType="separate"/>
            </w:r>
            <w:r w:rsidR="00CA1AAC">
              <w:rPr>
                <w:noProof/>
                <w:webHidden/>
                <w:sz w:val="24"/>
              </w:rPr>
              <w:t>7</w:t>
            </w:r>
            <w:r w:rsidRPr="00E42A03">
              <w:rPr>
                <w:noProof/>
                <w:webHidden/>
                <w:sz w:val="24"/>
              </w:rPr>
              <w:fldChar w:fldCharType="end"/>
            </w:r>
          </w:hyperlink>
        </w:p>
        <w:p w14:paraId="6A8C4247" w14:textId="3A835459"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37" w:history="1">
            <w:r w:rsidRPr="00E42A03">
              <w:rPr>
                <w:rStyle w:val="Hyperlink"/>
                <w:noProof/>
                <w:sz w:val="24"/>
              </w:rPr>
              <w:t>System</w:t>
            </w:r>
            <w:r w:rsidRPr="00E42A03">
              <w:rPr>
                <w:noProof/>
                <w:webHidden/>
                <w:sz w:val="24"/>
              </w:rPr>
              <w:tab/>
            </w:r>
            <w:r w:rsidRPr="00E42A03">
              <w:rPr>
                <w:noProof/>
                <w:webHidden/>
                <w:sz w:val="24"/>
              </w:rPr>
              <w:fldChar w:fldCharType="begin"/>
            </w:r>
            <w:r w:rsidRPr="00E42A03">
              <w:rPr>
                <w:noProof/>
                <w:webHidden/>
                <w:sz w:val="24"/>
              </w:rPr>
              <w:instrText xml:space="preserve"> PAGEREF _Toc225775737 \h </w:instrText>
            </w:r>
            <w:r w:rsidRPr="00E42A03">
              <w:rPr>
                <w:noProof/>
                <w:webHidden/>
                <w:sz w:val="24"/>
              </w:rPr>
            </w:r>
            <w:r w:rsidRPr="00E42A03">
              <w:rPr>
                <w:noProof/>
                <w:webHidden/>
                <w:sz w:val="24"/>
              </w:rPr>
              <w:fldChar w:fldCharType="separate"/>
            </w:r>
            <w:r w:rsidR="00CA1AAC">
              <w:rPr>
                <w:noProof/>
                <w:webHidden/>
                <w:sz w:val="24"/>
              </w:rPr>
              <w:t>7</w:t>
            </w:r>
            <w:r w:rsidRPr="00E42A03">
              <w:rPr>
                <w:noProof/>
                <w:webHidden/>
                <w:sz w:val="24"/>
              </w:rPr>
              <w:fldChar w:fldCharType="end"/>
            </w:r>
          </w:hyperlink>
        </w:p>
        <w:p w14:paraId="21D79634" w14:textId="696A670F"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38" w:history="1">
            <w:r w:rsidRPr="00E42A03">
              <w:rPr>
                <w:rStyle w:val="Hyperlink"/>
                <w:noProof/>
                <w:sz w:val="24"/>
              </w:rPr>
              <w:t>Student information</w:t>
            </w:r>
            <w:r w:rsidRPr="00E42A03">
              <w:rPr>
                <w:noProof/>
                <w:webHidden/>
                <w:sz w:val="24"/>
              </w:rPr>
              <w:tab/>
            </w:r>
            <w:r w:rsidRPr="00E42A03">
              <w:rPr>
                <w:noProof/>
                <w:webHidden/>
                <w:sz w:val="24"/>
              </w:rPr>
              <w:fldChar w:fldCharType="begin"/>
            </w:r>
            <w:r w:rsidRPr="00E42A03">
              <w:rPr>
                <w:noProof/>
                <w:webHidden/>
                <w:sz w:val="24"/>
              </w:rPr>
              <w:instrText xml:space="preserve"> PAGEREF _Toc225775738 \h </w:instrText>
            </w:r>
            <w:r w:rsidRPr="00E42A03">
              <w:rPr>
                <w:noProof/>
                <w:webHidden/>
                <w:sz w:val="24"/>
              </w:rPr>
            </w:r>
            <w:r w:rsidRPr="00E42A03">
              <w:rPr>
                <w:noProof/>
                <w:webHidden/>
                <w:sz w:val="24"/>
              </w:rPr>
              <w:fldChar w:fldCharType="separate"/>
            </w:r>
            <w:r w:rsidR="00CA1AAC">
              <w:rPr>
                <w:noProof/>
                <w:webHidden/>
                <w:sz w:val="24"/>
              </w:rPr>
              <w:t>7</w:t>
            </w:r>
            <w:r w:rsidRPr="00E42A03">
              <w:rPr>
                <w:noProof/>
                <w:webHidden/>
                <w:sz w:val="24"/>
              </w:rPr>
              <w:fldChar w:fldCharType="end"/>
            </w:r>
          </w:hyperlink>
        </w:p>
        <w:p w14:paraId="66AA1EC2" w14:textId="5BCE1ACD"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39" w:history="1">
            <w:r w:rsidRPr="00E42A03">
              <w:rPr>
                <w:rStyle w:val="Hyperlink"/>
                <w:noProof/>
                <w:sz w:val="24"/>
              </w:rPr>
              <w:t>Registration</w:t>
            </w:r>
            <w:r w:rsidRPr="00E42A03">
              <w:rPr>
                <w:noProof/>
                <w:webHidden/>
                <w:sz w:val="24"/>
              </w:rPr>
              <w:tab/>
            </w:r>
            <w:r w:rsidRPr="00E42A03">
              <w:rPr>
                <w:noProof/>
                <w:webHidden/>
                <w:sz w:val="24"/>
              </w:rPr>
              <w:fldChar w:fldCharType="begin"/>
            </w:r>
            <w:r w:rsidRPr="00E42A03">
              <w:rPr>
                <w:noProof/>
                <w:webHidden/>
                <w:sz w:val="24"/>
              </w:rPr>
              <w:instrText xml:space="preserve"> PAGEREF _Toc225775739 \h </w:instrText>
            </w:r>
            <w:r w:rsidRPr="00E42A03">
              <w:rPr>
                <w:noProof/>
                <w:webHidden/>
                <w:sz w:val="24"/>
              </w:rPr>
            </w:r>
            <w:r w:rsidRPr="00E42A03">
              <w:rPr>
                <w:noProof/>
                <w:webHidden/>
                <w:sz w:val="24"/>
              </w:rPr>
              <w:fldChar w:fldCharType="separate"/>
            </w:r>
            <w:r w:rsidR="00CA1AAC">
              <w:rPr>
                <w:noProof/>
                <w:webHidden/>
                <w:sz w:val="24"/>
              </w:rPr>
              <w:t>8</w:t>
            </w:r>
            <w:r w:rsidRPr="00E42A03">
              <w:rPr>
                <w:noProof/>
                <w:webHidden/>
                <w:sz w:val="24"/>
              </w:rPr>
              <w:fldChar w:fldCharType="end"/>
            </w:r>
          </w:hyperlink>
        </w:p>
        <w:p w14:paraId="276AD876" w14:textId="155565F8"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0" w:history="1">
            <w:r w:rsidRPr="00E42A03">
              <w:rPr>
                <w:rStyle w:val="Hyperlink"/>
                <w:noProof/>
                <w:sz w:val="24"/>
              </w:rPr>
              <w:t>Attendance</w:t>
            </w:r>
            <w:r w:rsidRPr="00E42A03">
              <w:rPr>
                <w:noProof/>
                <w:webHidden/>
                <w:sz w:val="24"/>
              </w:rPr>
              <w:tab/>
            </w:r>
            <w:r w:rsidRPr="00E42A03">
              <w:rPr>
                <w:noProof/>
                <w:webHidden/>
                <w:sz w:val="24"/>
              </w:rPr>
              <w:fldChar w:fldCharType="begin"/>
            </w:r>
            <w:r w:rsidRPr="00E42A03">
              <w:rPr>
                <w:noProof/>
                <w:webHidden/>
                <w:sz w:val="24"/>
              </w:rPr>
              <w:instrText xml:space="preserve"> PAGEREF _Toc225775740 \h </w:instrText>
            </w:r>
            <w:r w:rsidRPr="00E42A03">
              <w:rPr>
                <w:noProof/>
                <w:webHidden/>
                <w:sz w:val="24"/>
              </w:rPr>
            </w:r>
            <w:r w:rsidRPr="00E42A03">
              <w:rPr>
                <w:noProof/>
                <w:webHidden/>
                <w:sz w:val="24"/>
              </w:rPr>
              <w:fldChar w:fldCharType="separate"/>
            </w:r>
            <w:r w:rsidR="00CA1AAC">
              <w:rPr>
                <w:noProof/>
                <w:webHidden/>
                <w:sz w:val="24"/>
              </w:rPr>
              <w:t>8</w:t>
            </w:r>
            <w:r w:rsidRPr="00E42A03">
              <w:rPr>
                <w:noProof/>
                <w:webHidden/>
                <w:sz w:val="24"/>
              </w:rPr>
              <w:fldChar w:fldCharType="end"/>
            </w:r>
          </w:hyperlink>
        </w:p>
        <w:p w14:paraId="48FEF47E" w14:textId="0D8AFC19"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1" w:history="1">
            <w:r w:rsidRPr="00E42A03">
              <w:rPr>
                <w:rStyle w:val="Hyperlink"/>
                <w:noProof/>
                <w:sz w:val="24"/>
              </w:rPr>
              <w:t>Change of Circumstance</w:t>
            </w:r>
            <w:r w:rsidRPr="00E42A03">
              <w:rPr>
                <w:noProof/>
                <w:webHidden/>
                <w:sz w:val="24"/>
              </w:rPr>
              <w:tab/>
            </w:r>
            <w:r w:rsidRPr="00E42A03">
              <w:rPr>
                <w:noProof/>
                <w:webHidden/>
                <w:sz w:val="24"/>
              </w:rPr>
              <w:fldChar w:fldCharType="begin"/>
            </w:r>
            <w:r w:rsidRPr="00E42A03">
              <w:rPr>
                <w:noProof/>
                <w:webHidden/>
                <w:sz w:val="24"/>
              </w:rPr>
              <w:instrText xml:space="preserve"> PAGEREF _Toc225775741 \h </w:instrText>
            </w:r>
            <w:r w:rsidRPr="00E42A03">
              <w:rPr>
                <w:noProof/>
                <w:webHidden/>
                <w:sz w:val="24"/>
              </w:rPr>
            </w:r>
            <w:r w:rsidRPr="00E42A03">
              <w:rPr>
                <w:noProof/>
                <w:webHidden/>
                <w:sz w:val="24"/>
              </w:rPr>
              <w:fldChar w:fldCharType="separate"/>
            </w:r>
            <w:r w:rsidR="00CA1AAC">
              <w:rPr>
                <w:noProof/>
                <w:webHidden/>
                <w:sz w:val="24"/>
              </w:rPr>
              <w:t>10</w:t>
            </w:r>
            <w:r w:rsidRPr="00E42A03">
              <w:rPr>
                <w:noProof/>
                <w:webHidden/>
                <w:sz w:val="24"/>
              </w:rPr>
              <w:fldChar w:fldCharType="end"/>
            </w:r>
          </w:hyperlink>
        </w:p>
        <w:p w14:paraId="77F66681" w14:textId="22C92A69"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2" w:history="1">
            <w:r w:rsidRPr="00E42A03">
              <w:rPr>
                <w:rStyle w:val="Hyperlink"/>
                <w:noProof/>
                <w:sz w:val="24"/>
              </w:rPr>
              <w:t>Financial reporting</w:t>
            </w:r>
            <w:r w:rsidRPr="00E42A03">
              <w:rPr>
                <w:noProof/>
                <w:webHidden/>
                <w:sz w:val="24"/>
              </w:rPr>
              <w:tab/>
            </w:r>
            <w:r w:rsidRPr="00E42A03">
              <w:rPr>
                <w:noProof/>
                <w:webHidden/>
                <w:sz w:val="24"/>
              </w:rPr>
              <w:fldChar w:fldCharType="begin"/>
            </w:r>
            <w:r w:rsidRPr="00E42A03">
              <w:rPr>
                <w:noProof/>
                <w:webHidden/>
                <w:sz w:val="24"/>
              </w:rPr>
              <w:instrText xml:space="preserve"> PAGEREF _Toc225775742 \h </w:instrText>
            </w:r>
            <w:r w:rsidRPr="00E42A03">
              <w:rPr>
                <w:noProof/>
                <w:webHidden/>
                <w:sz w:val="24"/>
              </w:rPr>
            </w:r>
            <w:r w:rsidRPr="00E42A03">
              <w:rPr>
                <w:noProof/>
                <w:webHidden/>
                <w:sz w:val="24"/>
              </w:rPr>
              <w:fldChar w:fldCharType="separate"/>
            </w:r>
            <w:r w:rsidR="00CA1AAC">
              <w:rPr>
                <w:noProof/>
                <w:webHidden/>
                <w:sz w:val="24"/>
              </w:rPr>
              <w:t>11</w:t>
            </w:r>
            <w:r w:rsidRPr="00E42A03">
              <w:rPr>
                <w:noProof/>
                <w:webHidden/>
                <w:sz w:val="24"/>
              </w:rPr>
              <w:fldChar w:fldCharType="end"/>
            </w:r>
          </w:hyperlink>
        </w:p>
        <w:p w14:paraId="42C74FCF" w14:textId="56B054E4"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43" w:history="1">
            <w:r w:rsidRPr="00E42A03">
              <w:rPr>
                <w:rStyle w:val="Hyperlink"/>
                <w:noProof/>
                <w:sz w:val="24"/>
              </w:rPr>
              <w:t>HEP support</w:t>
            </w:r>
            <w:r w:rsidRPr="00E42A03">
              <w:rPr>
                <w:noProof/>
                <w:webHidden/>
                <w:sz w:val="24"/>
              </w:rPr>
              <w:tab/>
            </w:r>
            <w:r w:rsidRPr="00E42A03">
              <w:rPr>
                <w:noProof/>
                <w:webHidden/>
                <w:sz w:val="24"/>
              </w:rPr>
              <w:fldChar w:fldCharType="begin"/>
            </w:r>
            <w:r w:rsidRPr="00E42A03">
              <w:rPr>
                <w:noProof/>
                <w:webHidden/>
                <w:sz w:val="24"/>
              </w:rPr>
              <w:instrText xml:space="preserve"> PAGEREF _Toc225775743 \h </w:instrText>
            </w:r>
            <w:r w:rsidRPr="00E42A03">
              <w:rPr>
                <w:noProof/>
                <w:webHidden/>
                <w:sz w:val="24"/>
              </w:rPr>
            </w:r>
            <w:r w:rsidRPr="00E42A03">
              <w:rPr>
                <w:noProof/>
                <w:webHidden/>
                <w:sz w:val="24"/>
              </w:rPr>
              <w:fldChar w:fldCharType="separate"/>
            </w:r>
            <w:r w:rsidR="00CA1AAC">
              <w:rPr>
                <w:noProof/>
                <w:webHidden/>
                <w:sz w:val="24"/>
              </w:rPr>
              <w:t>11</w:t>
            </w:r>
            <w:r w:rsidRPr="00E42A03">
              <w:rPr>
                <w:noProof/>
                <w:webHidden/>
                <w:sz w:val="24"/>
              </w:rPr>
              <w:fldChar w:fldCharType="end"/>
            </w:r>
          </w:hyperlink>
        </w:p>
        <w:p w14:paraId="734D963B" w14:textId="6073F7DA"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4" w:history="1">
            <w:r w:rsidRPr="00E42A03">
              <w:rPr>
                <w:rStyle w:val="Hyperlink"/>
                <w:noProof/>
                <w:sz w:val="24"/>
              </w:rPr>
              <w:t>Guidance materials</w:t>
            </w:r>
            <w:r w:rsidRPr="00E42A03">
              <w:rPr>
                <w:noProof/>
                <w:webHidden/>
                <w:sz w:val="24"/>
              </w:rPr>
              <w:tab/>
            </w:r>
            <w:r w:rsidRPr="00E42A03">
              <w:rPr>
                <w:noProof/>
                <w:webHidden/>
                <w:sz w:val="24"/>
              </w:rPr>
              <w:fldChar w:fldCharType="begin"/>
            </w:r>
            <w:r w:rsidRPr="00E42A03">
              <w:rPr>
                <w:noProof/>
                <w:webHidden/>
                <w:sz w:val="24"/>
              </w:rPr>
              <w:instrText xml:space="preserve"> PAGEREF _Toc225775744 \h </w:instrText>
            </w:r>
            <w:r w:rsidRPr="00E42A03">
              <w:rPr>
                <w:noProof/>
                <w:webHidden/>
                <w:sz w:val="24"/>
              </w:rPr>
            </w:r>
            <w:r w:rsidRPr="00E42A03">
              <w:rPr>
                <w:noProof/>
                <w:webHidden/>
                <w:sz w:val="24"/>
              </w:rPr>
              <w:fldChar w:fldCharType="separate"/>
            </w:r>
            <w:r w:rsidR="00CA1AAC">
              <w:rPr>
                <w:noProof/>
                <w:webHidden/>
                <w:sz w:val="24"/>
              </w:rPr>
              <w:t>11</w:t>
            </w:r>
            <w:r w:rsidRPr="00E42A03">
              <w:rPr>
                <w:noProof/>
                <w:webHidden/>
                <w:sz w:val="24"/>
              </w:rPr>
              <w:fldChar w:fldCharType="end"/>
            </w:r>
          </w:hyperlink>
        </w:p>
        <w:p w14:paraId="02895411" w14:textId="5FE831FB"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5" w:history="1">
            <w:r w:rsidRPr="00E42A03">
              <w:rPr>
                <w:rStyle w:val="Hyperlink"/>
                <w:noProof/>
                <w:sz w:val="24"/>
              </w:rPr>
              <w:t>Partners Support Desk</w:t>
            </w:r>
            <w:r w:rsidRPr="00E42A03">
              <w:rPr>
                <w:noProof/>
                <w:webHidden/>
                <w:sz w:val="24"/>
              </w:rPr>
              <w:tab/>
            </w:r>
            <w:r w:rsidRPr="00E42A03">
              <w:rPr>
                <w:noProof/>
                <w:webHidden/>
                <w:sz w:val="24"/>
              </w:rPr>
              <w:fldChar w:fldCharType="begin"/>
            </w:r>
            <w:r w:rsidRPr="00E42A03">
              <w:rPr>
                <w:noProof/>
                <w:webHidden/>
                <w:sz w:val="24"/>
              </w:rPr>
              <w:instrText xml:space="preserve"> PAGEREF _Toc225775745 \h </w:instrText>
            </w:r>
            <w:r w:rsidRPr="00E42A03">
              <w:rPr>
                <w:noProof/>
                <w:webHidden/>
                <w:sz w:val="24"/>
              </w:rPr>
            </w:r>
            <w:r w:rsidRPr="00E42A03">
              <w:rPr>
                <w:noProof/>
                <w:webHidden/>
                <w:sz w:val="24"/>
              </w:rPr>
              <w:fldChar w:fldCharType="separate"/>
            </w:r>
            <w:r w:rsidR="00CA1AAC">
              <w:rPr>
                <w:noProof/>
                <w:webHidden/>
                <w:sz w:val="24"/>
              </w:rPr>
              <w:t>11</w:t>
            </w:r>
            <w:r w:rsidRPr="00E42A03">
              <w:rPr>
                <w:noProof/>
                <w:webHidden/>
                <w:sz w:val="24"/>
              </w:rPr>
              <w:fldChar w:fldCharType="end"/>
            </w:r>
          </w:hyperlink>
        </w:p>
        <w:p w14:paraId="696AC2C0" w14:textId="4400FAE9"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6" w:history="1">
            <w:r w:rsidRPr="00E42A03">
              <w:rPr>
                <w:rStyle w:val="Hyperlink"/>
                <w:noProof/>
                <w:sz w:val="24"/>
              </w:rPr>
              <w:t>HEP Account Managers</w:t>
            </w:r>
            <w:r w:rsidRPr="00E42A03">
              <w:rPr>
                <w:noProof/>
                <w:webHidden/>
                <w:sz w:val="24"/>
              </w:rPr>
              <w:tab/>
            </w:r>
            <w:r w:rsidRPr="00E42A03">
              <w:rPr>
                <w:noProof/>
                <w:webHidden/>
                <w:sz w:val="24"/>
              </w:rPr>
              <w:fldChar w:fldCharType="begin"/>
            </w:r>
            <w:r w:rsidRPr="00E42A03">
              <w:rPr>
                <w:noProof/>
                <w:webHidden/>
                <w:sz w:val="24"/>
              </w:rPr>
              <w:instrText xml:space="preserve"> PAGEREF _Toc225775746 \h </w:instrText>
            </w:r>
            <w:r w:rsidRPr="00E42A03">
              <w:rPr>
                <w:noProof/>
                <w:webHidden/>
                <w:sz w:val="24"/>
              </w:rPr>
            </w:r>
            <w:r w:rsidRPr="00E42A03">
              <w:rPr>
                <w:noProof/>
                <w:webHidden/>
                <w:sz w:val="24"/>
              </w:rPr>
              <w:fldChar w:fldCharType="separate"/>
            </w:r>
            <w:r w:rsidR="00CA1AAC">
              <w:rPr>
                <w:noProof/>
                <w:webHidden/>
                <w:sz w:val="24"/>
              </w:rPr>
              <w:t>12</w:t>
            </w:r>
            <w:r w:rsidRPr="00E42A03">
              <w:rPr>
                <w:noProof/>
                <w:webHidden/>
                <w:sz w:val="24"/>
              </w:rPr>
              <w:fldChar w:fldCharType="end"/>
            </w:r>
          </w:hyperlink>
        </w:p>
        <w:p w14:paraId="3FBE30E5" w14:textId="356C4A48"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47" w:history="1">
            <w:r w:rsidRPr="00E42A03">
              <w:rPr>
                <w:rStyle w:val="Hyperlink"/>
                <w:noProof/>
                <w:sz w:val="24"/>
              </w:rPr>
              <w:t>Service functions</w:t>
            </w:r>
            <w:r w:rsidRPr="00E42A03">
              <w:rPr>
                <w:noProof/>
                <w:webHidden/>
                <w:sz w:val="24"/>
              </w:rPr>
              <w:tab/>
            </w:r>
            <w:r w:rsidRPr="00E42A03">
              <w:rPr>
                <w:noProof/>
                <w:webHidden/>
                <w:sz w:val="24"/>
              </w:rPr>
              <w:fldChar w:fldCharType="begin"/>
            </w:r>
            <w:r w:rsidRPr="00E42A03">
              <w:rPr>
                <w:noProof/>
                <w:webHidden/>
                <w:sz w:val="24"/>
              </w:rPr>
              <w:instrText xml:space="preserve"> PAGEREF _Toc225775747 \h </w:instrText>
            </w:r>
            <w:r w:rsidRPr="00E42A03">
              <w:rPr>
                <w:noProof/>
                <w:webHidden/>
                <w:sz w:val="24"/>
              </w:rPr>
            </w:r>
            <w:r w:rsidRPr="00E42A03">
              <w:rPr>
                <w:noProof/>
                <w:webHidden/>
                <w:sz w:val="24"/>
              </w:rPr>
              <w:fldChar w:fldCharType="separate"/>
            </w:r>
            <w:r w:rsidR="00CA1AAC">
              <w:rPr>
                <w:noProof/>
                <w:webHidden/>
                <w:sz w:val="24"/>
              </w:rPr>
              <w:t>12</w:t>
            </w:r>
            <w:r w:rsidRPr="00E42A03">
              <w:rPr>
                <w:noProof/>
                <w:webHidden/>
                <w:sz w:val="24"/>
              </w:rPr>
              <w:fldChar w:fldCharType="end"/>
            </w:r>
          </w:hyperlink>
        </w:p>
        <w:p w14:paraId="7E66964E" w14:textId="0D64732D"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8" w:history="1">
            <w:r w:rsidRPr="00E42A03">
              <w:rPr>
                <w:rStyle w:val="Hyperlink"/>
                <w:noProof/>
                <w:sz w:val="24"/>
              </w:rPr>
              <w:t>LLE Applications</w:t>
            </w:r>
            <w:r w:rsidRPr="00E42A03">
              <w:rPr>
                <w:noProof/>
                <w:webHidden/>
                <w:sz w:val="24"/>
              </w:rPr>
              <w:tab/>
            </w:r>
            <w:r w:rsidRPr="00E42A03">
              <w:rPr>
                <w:noProof/>
                <w:webHidden/>
                <w:sz w:val="24"/>
              </w:rPr>
              <w:fldChar w:fldCharType="begin"/>
            </w:r>
            <w:r w:rsidRPr="00E42A03">
              <w:rPr>
                <w:noProof/>
                <w:webHidden/>
                <w:sz w:val="24"/>
              </w:rPr>
              <w:instrText xml:space="preserve"> PAGEREF _Toc225775748 \h </w:instrText>
            </w:r>
            <w:r w:rsidRPr="00E42A03">
              <w:rPr>
                <w:noProof/>
                <w:webHidden/>
                <w:sz w:val="24"/>
              </w:rPr>
            </w:r>
            <w:r w:rsidRPr="00E42A03">
              <w:rPr>
                <w:noProof/>
                <w:webHidden/>
                <w:sz w:val="24"/>
              </w:rPr>
              <w:fldChar w:fldCharType="separate"/>
            </w:r>
            <w:r w:rsidR="00CA1AAC">
              <w:rPr>
                <w:noProof/>
                <w:webHidden/>
                <w:sz w:val="24"/>
              </w:rPr>
              <w:t>12</w:t>
            </w:r>
            <w:r w:rsidRPr="00E42A03">
              <w:rPr>
                <w:noProof/>
                <w:webHidden/>
                <w:sz w:val="24"/>
              </w:rPr>
              <w:fldChar w:fldCharType="end"/>
            </w:r>
          </w:hyperlink>
        </w:p>
        <w:p w14:paraId="40A13BBA" w14:textId="507F6907"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49" w:history="1">
            <w:r w:rsidRPr="00E42A03">
              <w:rPr>
                <w:rStyle w:val="Hyperlink"/>
                <w:noProof/>
                <w:sz w:val="24"/>
              </w:rPr>
              <w:t>Registration confirmation</w:t>
            </w:r>
            <w:r w:rsidRPr="00E42A03">
              <w:rPr>
                <w:noProof/>
                <w:webHidden/>
                <w:sz w:val="24"/>
              </w:rPr>
              <w:tab/>
            </w:r>
            <w:r w:rsidRPr="00E42A03">
              <w:rPr>
                <w:noProof/>
                <w:webHidden/>
                <w:sz w:val="24"/>
              </w:rPr>
              <w:fldChar w:fldCharType="begin"/>
            </w:r>
            <w:r w:rsidRPr="00E42A03">
              <w:rPr>
                <w:noProof/>
                <w:webHidden/>
                <w:sz w:val="24"/>
              </w:rPr>
              <w:instrText xml:space="preserve"> PAGEREF _Toc225775749 \h </w:instrText>
            </w:r>
            <w:r w:rsidRPr="00E42A03">
              <w:rPr>
                <w:noProof/>
                <w:webHidden/>
                <w:sz w:val="24"/>
              </w:rPr>
            </w:r>
            <w:r w:rsidRPr="00E42A03">
              <w:rPr>
                <w:noProof/>
                <w:webHidden/>
                <w:sz w:val="24"/>
              </w:rPr>
              <w:fldChar w:fldCharType="separate"/>
            </w:r>
            <w:r w:rsidR="00CA1AAC">
              <w:rPr>
                <w:noProof/>
                <w:webHidden/>
                <w:sz w:val="24"/>
              </w:rPr>
              <w:t>12</w:t>
            </w:r>
            <w:r w:rsidRPr="00E42A03">
              <w:rPr>
                <w:noProof/>
                <w:webHidden/>
                <w:sz w:val="24"/>
              </w:rPr>
              <w:fldChar w:fldCharType="end"/>
            </w:r>
          </w:hyperlink>
        </w:p>
        <w:p w14:paraId="047D1F1F" w14:textId="1ACF00CB"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50" w:history="1">
            <w:r w:rsidRPr="00E42A03">
              <w:rPr>
                <w:rStyle w:val="Hyperlink"/>
                <w:noProof/>
                <w:sz w:val="24"/>
              </w:rPr>
              <w:t>Attendance confirmation</w:t>
            </w:r>
            <w:r w:rsidRPr="00E42A03">
              <w:rPr>
                <w:noProof/>
                <w:webHidden/>
                <w:sz w:val="24"/>
              </w:rPr>
              <w:tab/>
            </w:r>
            <w:r w:rsidRPr="00E42A03">
              <w:rPr>
                <w:noProof/>
                <w:webHidden/>
                <w:sz w:val="24"/>
              </w:rPr>
              <w:fldChar w:fldCharType="begin"/>
            </w:r>
            <w:r w:rsidRPr="00E42A03">
              <w:rPr>
                <w:noProof/>
                <w:webHidden/>
                <w:sz w:val="24"/>
              </w:rPr>
              <w:instrText xml:space="preserve"> PAGEREF _Toc225775750 \h </w:instrText>
            </w:r>
            <w:r w:rsidRPr="00E42A03">
              <w:rPr>
                <w:noProof/>
                <w:webHidden/>
                <w:sz w:val="24"/>
              </w:rPr>
            </w:r>
            <w:r w:rsidRPr="00E42A03">
              <w:rPr>
                <w:noProof/>
                <w:webHidden/>
                <w:sz w:val="24"/>
              </w:rPr>
              <w:fldChar w:fldCharType="separate"/>
            </w:r>
            <w:r w:rsidR="00CA1AAC">
              <w:rPr>
                <w:noProof/>
                <w:webHidden/>
                <w:sz w:val="24"/>
              </w:rPr>
              <w:t>13</w:t>
            </w:r>
            <w:r w:rsidRPr="00E42A03">
              <w:rPr>
                <w:noProof/>
                <w:webHidden/>
                <w:sz w:val="24"/>
              </w:rPr>
              <w:fldChar w:fldCharType="end"/>
            </w:r>
          </w:hyperlink>
        </w:p>
        <w:p w14:paraId="4F1FA5DA" w14:textId="4247C3B4"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51" w:history="1">
            <w:r w:rsidRPr="00E42A03">
              <w:rPr>
                <w:rStyle w:val="Hyperlink"/>
                <w:noProof/>
                <w:sz w:val="24"/>
              </w:rPr>
              <w:t>Change of Circumstance</w:t>
            </w:r>
            <w:r w:rsidRPr="00E42A03">
              <w:rPr>
                <w:noProof/>
                <w:webHidden/>
                <w:sz w:val="24"/>
              </w:rPr>
              <w:tab/>
            </w:r>
            <w:r w:rsidRPr="00E42A03">
              <w:rPr>
                <w:noProof/>
                <w:webHidden/>
                <w:sz w:val="24"/>
              </w:rPr>
              <w:fldChar w:fldCharType="begin"/>
            </w:r>
            <w:r w:rsidRPr="00E42A03">
              <w:rPr>
                <w:noProof/>
                <w:webHidden/>
                <w:sz w:val="24"/>
              </w:rPr>
              <w:instrText xml:space="preserve"> PAGEREF _Toc225775751 \h </w:instrText>
            </w:r>
            <w:r w:rsidRPr="00E42A03">
              <w:rPr>
                <w:noProof/>
                <w:webHidden/>
                <w:sz w:val="24"/>
              </w:rPr>
            </w:r>
            <w:r w:rsidRPr="00E42A03">
              <w:rPr>
                <w:noProof/>
                <w:webHidden/>
                <w:sz w:val="24"/>
              </w:rPr>
              <w:fldChar w:fldCharType="separate"/>
            </w:r>
            <w:r w:rsidR="00CA1AAC">
              <w:rPr>
                <w:noProof/>
                <w:webHidden/>
                <w:sz w:val="24"/>
              </w:rPr>
              <w:t>14</w:t>
            </w:r>
            <w:r w:rsidRPr="00E42A03">
              <w:rPr>
                <w:noProof/>
                <w:webHidden/>
                <w:sz w:val="24"/>
              </w:rPr>
              <w:fldChar w:fldCharType="end"/>
            </w:r>
          </w:hyperlink>
        </w:p>
        <w:p w14:paraId="0C2A81E0" w14:textId="642E6B1B"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52" w:history="1">
            <w:r w:rsidRPr="00E42A03">
              <w:rPr>
                <w:rStyle w:val="Hyperlink"/>
                <w:noProof/>
                <w:sz w:val="24"/>
              </w:rPr>
              <w:t>Change of Circumstance terms</w:t>
            </w:r>
            <w:r w:rsidRPr="00E42A03">
              <w:rPr>
                <w:noProof/>
                <w:webHidden/>
                <w:sz w:val="24"/>
              </w:rPr>
              <w:tab/>
            </w:r>
            <w:r w:rsidRPr="00E42A03">
              <w:rPr>
                <w:noProof/>
                <w:webHidden/>
                <w:sz w:val="24"/>
              </w:rPr>
              <w:fldChar w:fldCharType="begin"/>
            </w:r>
            <w:r w:rsidRPr="00E42A03">
              <w:rPr>
                <w:noProof/>
                <w:webHidden/>
                <w:sz w:val="24"/>
              </w:rPr>
              <w:instrText xml:space="preserve"> PAGEREF _Toc225775752 \h </w:instrText>
            </w:r>
            <w:r w:rsidRPr="00E42A03">
              <w:rPr>
                <w:noProof/>
                <w:webHidden/>
                <w:sz w:val="24"/>
              </w:rPr>
            </w:r>
            <w:r w:rsidRPr="00E42A03">
              <w:rPr>
                <w:noProof/>
                <w:webHidden/>
                <w:sz w:val="24"/>
              </w:rPr>
              <w:fldChar w:fldCharType="separate"/>
            </w:r>
            <w:r w:rsidR="00CA1AAC">
              <w:rPr>
                <w:noProof/>
                <w:webHidden/>
                <w:sz w:val="24"/>
              </w:rPr>
              <w:t>15</w:t>
            </w:r>
            <w:r w:rsidRPr="00E42A03">
              <w:rPr>
                <w:noProof/>
                <w:webHidden/>
                <w:sz w:val="24"/>
              </w:rPr>
              <w:fldChar w:fldCharType="end"/>
            </w:r>
          </w:hyperlink>
        </w:p>
        <w:p w14:paraId="55C53482" w14:textId="34A6A6C1"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53" w:history="1">
            <w:r w:rsidRPr="00E42A03">
              <w:rPr>
                <w:rStyle w:val="Hyperlink"/>
                <w:noProof/>
                <w:sz w:val="24"/>
              </w:rPr>
              <w:t>Automated CoC processing</w:t>
            </w:r>
            <w:r w:rsidRPr="00E42A03">
              <w:rPr>
                <w:noProof/>
                <w:webHidden/>
                <w:sz w:val="24"/>
              </w:rPr>
              <w:tab/>
            </w:r>
            <w:r w:rsidRPr="00E42A03">
              <w:rPr>
                <w:noProof/>
                <w:webHidden/>
                <w:sz w:val="24"/>
              </w:rPr>
              <w:fldChar w:fldCharType="begin"/>
            </w:r>
            <w:r w:rsidRPr="00E42A03">
              <w:rPr>
                <w:noProof/>
                <w:webHidden/>
                <w:sz w:val="24"/>
              </w:rPr>
              <w:instrText xml:space="preserve"> PAGEREF _Toc225775753 \h </w:instrText>
            </w:r>
            <w:r w:rsidRPr="00E42A03">
              <w:rPr>
                <w:noProof/>
                <w:webHidden/>
                <w:sz w:val="24"/>
              </w:rPr>
            </w:r>
            <w:r w:rsidRPr="00E42A03">
              <w:rPr>
                <w:noProof/>
                <w:webHidden/>
                <w:sz w:val="24"/>
              </w:rPr>
              <w:fldChar w:fldCharType="separate"/>
            </w:r>
            <w:r w:rsidR="00CA1AAC">
              <w:rPr>
                <w:noProof/>
                <w:webHidden/>
                <w:sz w:val="24"/>
              </w:rPr>
              <w:t>17</w:t>
            </w:r>
            <w:r w:rsidRPr="00E42A03">
              <w:rPr>
                <w:noProof/>
                <w:webHidden/>
                <w:sz w:val="24"/>
              </w:rPr>
              <w:fldChar w:fldCharType="end"/>
            </w:r>
          </w:hyperlink>
        </w:p>
        <w:p w14:paraId="097C39AB" w14:textId="63E5E1A0"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54" w:history="1">
            <w:r w:rsidRPr="00E42A03">
              <w:rPr>
                <w:rStyle w:val="Hyperlink"/>
                <w:noProof/>
                <w:sz w:val="24"/>
              </w:rPr>
              <w:t>Financial reporting</w:t>
            </w:r>
            <w:r w:rsidRPr="00E42A03">
              <w:rPr>
                <w:noProof/>
                <w:webHidden/>
                <w:sz w:val="24"/>
              </w:rPr>
              <w:tab/>
            </w:r>
            <w:r w:rsidRPr="00E42A03">
              <w:rPr>
                <w:noProof/>
                <w:webHidden/>
                <w:sz w:val="24"/>
              </w:rPr>
              <w:fldChar w:fldCharType="begin"/>
            </w:r>
            <w:r w:rsidRPr="00E42A03">
              <w:rPr>
                <w:noProof/>
                <w:webHidden/>
                <w:sz w:val="24"/>
              </w:rPr>
              <w:instrText xml:space="preserve"> PAGEREF _Toc225775754 \h </w:instrText>
            </w:r>
            <w:r w:rsidRPr="00E42A03">
              <w:rPr>
                <w:noProof/>
                <w:webHidden/>
                <w:sz w:val="24"/>
              </w:rPr>
            </w:r>
            <w:r w:rsidRPr="00E42A03">
              <w:rPr>
                <w:noProof/>
                <w:webHidden/>
                <w:sz w:val="24"/>
              </w:rPr>
              <w:fldChar w:fldCharType="separate"/>
            </w:r>
            <w:r w:rsidR="00CA1AAC">
              <w:rPr>
                <w:noProof/>
                <w:webHidden/>
                <w:sz w:val="24"/>
              </w:rPr>
              <w:t>17</w:t>
            </w:r>
            <w:r w:rsidRPr="00E42A03">
              <w:rPr>
                <w:noProof/>
                <w:webHidden/>
                <w:sz w:val="24"/>
              </w:rPr>
              <w:fldChar w:fldCharType="end"/>
            </w:r>
          </w:hyperlink>
        </w:p>
        <w:p w14:paraId="7DBD11CF" w14:textId="759318FC"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55" w:history="1">
            <w:r w:rsidRPr="00E42A03">
              <w:rPr>
                <w:rStyle w:val="Hyperlink"/>
                <w:noProof/>
                <w:sz w:val="24"/>
              </w:rPr>
              <w:t>Payment of tuition fees</w:t>
            </w:r>
            <w:r w:rsidRPr="00E42A03">
              <w:rPr>
                <w:noProof/>
                <w:webHidden/>
                <w:sz w:val="24"/>
              </w:rPr>
              <w:tab/>
            </w:r>
            <w:r w:rsidRPr="00E42A03">
              <w:rPr>
                <w:noProof/>
                <w:webHidden/>
                <w:sz w:val="24"/>
              </w:rPr>
              <w:fldChar w:fldCharType="begin"/>
            </w:r>
            <w:r w:rsidRPr="00E42A03">
              <w:rPr>
                <w:noProof/>
                <w:webHidden/>
                <w:sz w:val="24"/>
              </w:rPr>
              <w:instrText xml:space="preserve"> PAGEREF _Toc225775755 \h </w:instrText>
            </w:r>
            <w:r w:rsidRPr="00E42A03">
              <w:rPr>
                <w:noProof/>
                <w:webHidden/>
                <w:sz w:val="24"/>
              </w:rPr>
            </w:r>
            <w:r w:rsidRPr="00E42A03">
              <w:rPr>
                <w:noProof/>
                <w:webHidden/>
                <w:sz w:val="24"/>
              </w:rPr>
              <w:fldChar w:fldCharType="separate"/>
            </w:r>
            <w:r w:rsidR="00CA1AAC">
              <w:rPr>
                <w:noProof/>
                <w:webHidden/>
                <w:sz w:val="24"/>
              </w:rPr>
              <w:t>19</w:t>
            </w:r>
            <w:r w:rsidRPr="00E42A03">
              <w:rPr>
                <w:noProof/>
                <w:webHidden/>
                <w:sz w:val="24"/>
              </w:rPr>
              <w:fldChar w:fldCharType="end"/>
            </w:r>
          </w:hyperlink>
        </w:p>
        <w:p w14:paraId="59613758" w14:textId="54E51BF7"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56" w:history="1">
            <w:r w:rsidRPr="00E42A03">
              <w:rPr>
                <w:rStyle w:val="Hyperlink"/>
                <w:noProof/>
                <w:sz w:val="24"/>
              </w:rPr>
              <w:t>System access</w:t>
            </w:r>
            <w:r w:rsidRPr="00E42A03">
              <w:rPr>
                <w:noProof/>
                <w:webHidden/>
                <w:sz w:val="24"/>
              </w:rPr>
              <w:tab/>
            </w:r>
            <w:r w:rsidRPr="00E42A03">
              <w:rPr>
                <w:noProof/>
                <w:webHidden/>
                <w:sz w:val="24"/>
              </w:rPr>
              <w:fldChar w:fldCharType="begin"/>
            </w:r>
            <w:r w:rsidRPr="00E42A03">
              <w:rPr>
                <w:noProof/>
                <w:webHidden/>
                <w:sz w:val="24"/>
              </w:rPr>
              <w:instrText xml:space="preserve"> PAGEREF _Toc225775756 \h </w:instrText>
            </w:r>
            <w:r w:rsidRPr="00E42A03">
              <w:rPr>
                <w:noProof/>
                <w:webHidden/>
                <w:sz w:val="24"/>
              </w:rPr>
            </w:r>
            <w:r w:rsidRPr="00E42A03">
              <w:rPr>
                <w:noProof/>
                <w:webHidden/>
                <w:sz w:val="24"/>
              </w:rPr>
              <w:fldChar w:fldCharType="separate"/>
            </w:r>
            <w:r w:rsidR="00CA1AAC">
              <w:rPr>
                <w:noProof/>
                <w:webHidden/>
                <w:sz w:val="24"/>
              </w:rPr>
              <w:t>19</w:t>
            </w:r>
            <w:r w:rsidRPr="00E42A03">
              <w:rPr>
                <w:noProof/>
                <w:webHidden/>
                <w:sz w:val="24"/>
              </w:rPr>
              <w:fldChar w:fldCharType="end"/>
            </w:r>
          </w:hyperlink>
        </w:p>
        <w:p w14:paraId="019522A2" w14:textId="54E20E95"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57" w:history="1">
            <w:r w:rsidRPr="00E42A03">
              <w:rPr>
                <w:rStyle w:val="Hyperlink"/>
                <w:noProof/>
                <w:sz w:val="24"/>
              </w:rPr>
              <w:t>System availability</w:t>
            </w:r>
            <w:r w:rsidRPr="00E42A03">
              <w:rPr>
                <w:noProof/>
                <w:webHidden/>
                <w:sz w:val="24"/>
              </w:rPr>
              <w:tab/>
            </w:r>
            <w:r w:rsidRPr="00E42A03">
              <w:rPr>
                <w:noProof/>
                <w:webHidden/>
                <w:sz w:val="24"/>
              </w:rPr>
              <w:fldChar w:fldCharType="begin"/>
            </w:r>
            <w:r w:rsidRPr="00E42A03">
              <w:rPr>
                <w:noProof/>
                <w:webHidden/>
                <w:sz w:val="24"/>
              </w:rPr>
              <w:instrText xml:space="preserve"> PAGEREF _Toc225775757 \h </w:instrText>
            </w:r>
            <w:r w:rsidRPr="00E42A03">
              <w:rPr>
                <w:noProof/>
                <w:webHidden/>
                <w:sz w:val="24"/>
              </w:rPr>
            </w:r>
            <w:r w:rsidRPr="00E42A03">
              <w:rPr>
                <w:noProof/>
                <w:webHidden/>
                <w:sz w:val="24"/>
              </w:rPr>
              <w:fldChar w:fldCharType="separate"/>
            </w:r>
            <w:r w:rsidR="00CA1AAC">
              <w:rPr>
                <w:noProof/>
                <w:webHidden/>
                <w:sz w:val="24"/>
              </w:rPr>
              <w:t>20</w:t>
            </w:r>
            <w:r w:rsidRPr="00E42A03">
              <w:rPr>
                <w:noProof/>
                <w:webHidden/>
                <w:sz w:val="24"/>
              </w:rPr>
              <w:fldChar w:fldCharType="end"/>
            </w:r>
          </w:hyperlink>
        </w:p>
        <w:p w14:paraId="515E5766" w14:textId="2ACDDA87"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58" w:history="1">
            <w:r w:rsidRPr="00E42A03">
              <w:rPr>
                <w:rStyle w:val="Hyperlink"/>
                <w:noProof/>
                <w:sz w:val="24"/>
              </w:rPr>
              <w:t>Management information</w:t>
            </w:r>
            <w:r w:rsidRPr="00E42A03">
              <w:rPr>
                <w:noProof/>
                <w:webHidden/>
                <w:sz w:val="24"/>
              </w:rPr>
              <w:tab/>
            </w:r>
            <w:r w:rsidRPr="00E42A03">
              <w:rPr>
                <w:noProof/>
                <w:webHidden/>
                <w:sz w:val="24"/>
              </w:rPr>
              <w:fldChar w:fldCharType="begin"/>
            </w:r>
            <w:r w:rsidRPr="00E42A03">
              <w:rPr>
                <w:noProof/>
                <w:webHidden/>
                <w:sz w:val="24"/>
              </w:rPr>
              <w:instrText xml:space="preserve"> PAGEREF _Toc225775758 \h </w:instrText>
            </w:r>
            <w:r w:rsidRPr="00E42A03">
              <w:rPr>
                <w:noProof/>
                <w:webHidden/>
                <w:sz w:val="24"/>
              </w:rPr>
            </w:r>
            <w:r w:rsidRPr="00E42A03">
              <w:rPr>
                <w:noProof/>
                <w:webHidden/>
                <w:sz w:val="24"/>
              </w:rPr>
              <w:fldChar w:fldCharType="separate"/>
            </w:r>
            <w:r w:rsidR="00CA1AAC">
              <w:rPr>
                <w:noProof/>
                <w:webHidden/>
                <w:sz w:val="24"/>
              </w:rPr>
              <w:t>20</w:t>
            </w:r>
            <w:r w:rsidRPr="00E42A03">
              <w:rPr>
                <w:noProof/>
                <w:webHidden/>
                <w:sz w:val="24"/>
              </w:rPr>
              <w:fldChar w:fldCharType="end"/>
            </w:r>
          </w:hyperlink>
        </w:p>
        <w:p w14:paraId="2B4BC6E3" w14:textId="17814306"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59" w:history="1">
            <w:r w:rsidRPr="00E42A03">
              <w:rPr>
                <w:rStyle w:val="Hyperlink"/>
                <w:noProof/>
                <w:sz w:val="24"/>
              </w:rPr>
              <w:t>Maintenance and enhancements</w:t>
            </w:r>
            <w:r w:rsidRPr="00E42A03">
              <w:rPr>
                <w:noProof/>
                <w:webHidden/>
                <w:sz w:val="24"/>
              </w:rPr>
              <w:tab/>
            </w:r>
            <w:r w:rsidRPr="00E42A03">
              <w:rPr>
                <w:noProof/>
                <w:webHidden/>
                <w:sz w:val="24"/>
              </w:rPr>
              <w:fldChar w:fldCharType="begin"/>
            </w:r>
            <w:r w:rsidRPr="00E42A03">
              <w:rPr>
                <w:noProof/>
                <w:webHidden/>
                <w:sz w:val="24"/>
              </w:rPr>
              <w:instrText xml:space="preserve"> PAGEREF _Toc225775759 \h </w:instrText>
            </w:r>
            <w:r w:rsidRPr="00E42A03">
              <w:rPr>
                <w:noProof/>
                <w:webHidden/>
                <w:sz w:val="24"/>
              </w:rPr>
            </w:r>
            <w:r w:rsidRPr="00E42A03">
              <w:rPr>
                <w:noProof/>
                <w:webHidden/>
                <w:sz w:val="24"/>
              </w:rPr>
              <w:fldChar w:fldCharType="separate"/>
            </w:r>
            <w:r w:rsidR="00CA1AAC">
              <w:rPr>
                <w:noProof/>
                <w:webHidden/>
                <w:sz w:val="24"/>
              </w:rPr>
              <w:t>20</w:t>
            </w:r>
            <w:r w:rsidRPr="00E42A03">
              <w:rPr>
                <w:noProof/>
                <w:webHidden/>
                <w:sz w:val="24"/>
              </w:rPr>
              <w:fldChar w:fldCharType="end"/>
            </w:r>
          </w:hyperlink>
        </w:p>
        <w:p w14:paraId="1519C7D0" w14:textId="5353F39E"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60" w:history="1">
            <w:r w:rsidRPr="00E42A03">
              <w:rPr>
                <w:rStyle w:val="Hyperlink"/>
                <w:noProof/>
                <w:sz w:val="24"/>
              </w:rPr>
              <w:t>Student Loans Company responsibilities</w:t>
            </w:r>
            <w:r w:rsidRPr="00E42A03">
              <w:rPr>
                <w:noProof/>
                <w:webHidden/>
                <w:sz w:val="24"/>
              </w:rPr>
              <w:tab/>
            </w:r>
            <w:r w:rsidRPr="00E42A03">
              <w:rPr>
                <w:noProof/>
                <w:webHidden/>
                <w:sz w:val="24"/>
              </w:rPr>
              <w:fldChar w:fldCharType="begin"/>
            </w:r>
            <w:r w:rsidRPr="00E42A03">
              <w:rPr>
                <w:noProof/>
                <w:webHidden/>
                <w:sz w:val="24"/>
              </w:rPr>
              <w:instrText xml:space="preserve"> PAGEREF _Toc225775760 \h </w:instrText>
            </w:r>
            <w:r w:rsidRPr="00E42A03">
              <w:rPr>
                <w:noProof/>
                <w:webHidden/>
                <w:sz w:val="24"/>
              </w:rPr>
            </w:r>
            <w:r w:rsidRPr="00E42A03">
              <w:rPr>
                <w:noProof/>
                <w:webHidden/>
                <w:sz w:val="24"/>
              </w:rPr>
              <w:fldChar w:fldCharType="separate"/>
            </w:r>
            <w:r w:rsidR="00CA1AAC">
              <w:rPr>
                <w:noProof/>
                <w:webHidden/>
                <w:sz w:val="24"/>
              </w:rPr>
              <w:t>21</w:t>
            </w:r>
            <w:r w:rsidRPr="00E42A03">
              <w:rPr>
                <w:noProof/>
                <w:webHidden/>
                <w:sz w:val="24"/>
              </w:rPr>
              <w:fldChar w:fldCharType="end"/>
            </w:r>
          </w:hyperlink>
        </w:p>
        <w:p w14:paraId="191325C5" w14:textId="181D472E"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61" w:history="1">
            <w:r w:rsidRPr="00E42A03">
              <w:rPr>
                <w:rStyle w:val="Hyperlink"/>
                <w:noProof/>
                <w:sz w:val="24"/>
              </w:rPr>
              <w:t>System</w:t>
            </w:r>
            <w:r w:rsidRPr="00E42A03">
              <w:rPr>
                <w:noProof/>
                <w:webHidden/>
                <w:sz w:val="24"/>
              </w:rPr>
              <w:tab/>
            </w:r>
            <w:r w:rsidRPr="00E42A03">
              <w:rPr>
                <w:noProof/>
                <w:webHidden/>
                <w:sz w:val="24"/>
              </w:rPr>
              <w:fldChar w:fldCharType="begin"/>
            </w:r>
            <w:r w:rsidRPr="00E42A03">
              <w:rPr>
                <w:noProof/>
                <w:webHidden/>
                <w:sz w:val="24"/>
              </w:rPr>
              <w:instrText xml:space="preserve"> PAGEREF _Toc225775761 \h </w:instrText>
            </w:r>
            <w:r w:rsidRPr="00E42A03">
              <w:rPr>
                <w:noProof/>
                <w:webHidden/>
                <w:sz w:val="24"/>
              </w:rPr>
            </w:r>
            <w:r w:rsidRPr="00E42A03">
              <w:rPr>
                <w:noProof/>
                <w:webHidden/>
                <w:sz w:val="24"/>
              </w:rPr>
              <w:fldChar w:fldCharType="separate"/>
            </w:r>
            <w:r w:rsidR="00CA1AAC">
              <w:rPr>
                <w:noProof/>
                <w:webHidden/>
                <w:sz w:val="24"/>
              </w:rPr>
              <w:t>21</w:t>
            </w:r>
            <w:r w:rsidRPr="00E42A03">
              <w:rPr>
                <w:noProof/>
                <w:webHidden/>
                <w:sz w:val="24"/>
              </w:rPr>
              <w:fldChar w:fldCharType="end"/>
            </w:r>
          </w:hyperlink>
        </w:p>
        <w:p w14:paraId="0E9CBAAE" w14:textId="5FDC3217"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62" w:history="1">
            <w:r w:rsidRPr="00E42A03">
              <w:rPr>
                <w:rStyle w:val="Hyperlink"/>
                <w:noProof/>
                <w:sz w:val="24"/>
              </w:rPr>
              <w:t>Change of Circumstance processing</w:t>
            </w:r>
            <w:r w:rsidRPr="00E42A03">
              <w:rPr>
                <w:noProof/>
                <w:webHidden/>
                <w:sz w:val="24"/>
              </w:rPr>
              <w:tab/>
            </w:r>
            <w:r w:rsidRPr="00E42A03">
              <w:rPr>
                <w:noProof/>
                <w:webHidden/>
                <w:sz w:val="24"/>
              </w:rPr>
              <w:fldChar w:fldCharType="begin"/>
            </w:r>
            <w:r w:rsidRPr="00E42A03">
              <w:rPr>
                <w:noProof/>
                <w:webHidden/>
                <w:sz w:val="24"/>
              </w:rPr>
              <w:instrText xml:space="preserve"> PAGEREF _Toc225775762 \h </w:instrText>
            </w:r>
            <w:r w:rsidRPr="00E42A03">
              <w:rPr>
                <w:noProof/>
                <w:webHidden/>
                <w:sz w:val="24"/>
              </w:rPr>
            </w:r>
            <w:r w:rsidRPr="00E42A03">
              <w:rPr>
                <w:noProof/>
                <w:webHidden/>
                <w:sz w:val="24"/>
              </w:rPr>
              <w:fldChar w:fldCharType="separate"/>
            </w:r>
            <w:r w:rsidR="00CA1AAC">
              <w:rPr>
                <w:noProof/>
                <w:webHidden/>
                <w:sz w:val="24"/>
              </w:rPr>
              <w:t>21</w:t>
            </w:r>
            <w:r w:rsidRPr="00E42A03">
              <w:rPr>
                <w:noProof/>
                <w:webHidden/>
                <w:sz w:val="24"/>
              </w:rPr>
              <w:fldChar w:fldCharType="end"/>
            </w:r>
          </w:hyperlink>
        </w:p>
        <w:p w14:paraId="2DB25CF6" w14:textId="7FF8181B"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63" w:history="1">
            <w:r w:rsidRPr="00E42A03">
              <w:rPr>
                <w:rStyle w:val="Hyperlink"/>
                <w:noProof/>
                <w:sz w:val="24"/>
              </w:rPr>
              <w:t>Payments</w:t>
            </w:r>
            <w:r w:rsidRPr="00E42A03">
              <w:rPr>
                <w:noProof/>
                <w:webHidden/>
                <w:sz w:val="24"/>
              </w:rPr>
              <w:tab/>
            </w:r>
            <w:r w:rsidRPr="00E42A03">
              <w:rPr>
                <w:noProof/>
                <w:webHidden/>
                <w:sz w:val="24"/>
              </w:rPr>
              <w:fldChar w:fldCharType="begin"/>
            </w:r>
            <w:r w:rsidRPr="00E42A03">
              <w:rPr>
                <w:noProof/>
                <w:webHidden/>
                <w:sz w:val="24"/>
              </w:rPr>
              <w:instrText xml:space="preserve"> PAGEREF _Toc225775763 \h </w:instrText>
            </w:r>
            <w:r w:rsidRPr="00E42A03">
              <w:rPr>
                <w:noProof/>
                <w:webHidden/>
                <w:sz w:val="24"/>
              </w:rPr>
            </w:r>
            <w:r w:rsidRPr="00E42A03">
              <w:rPr>
                <w:noProof/>
                <w:webHidden/>
                <w:sz w:val="24"/>
              </w:rPr>
              <w:fldChar w:fldCharType="separate"/>
            </w:r>
            <w:r w:rsidR="00CA1AAC">
              <w:rPr>
                <w:noProof/>
                <w:webHidden/>
                <w:sz w:val="24"/>
              </w:rPr>
              <w:t>21</w:t>
            </w:r>
            <w:r w:rsidRPr="00E42A03">
              <w:rPr>
                <w:noProof/>
                <w:webHidden/>
                <w:sz w:val="24"/>
              </w:rPr>
              <w:fldChar w:fldCharType="end"/>
            </w:r>
          </w:hyperlink>
        </w:p>
        <w:p w14:paraId="2EA5023D" w14:textId="03333CB8"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64" w:history="1">
            <w:r w:rsidRPr="00E42A03">
              <w:rPr>
                <w:rStyle w:val="Hyperlink"/>
                <w:noProof/>
                <w:sz w:val="24"/>
              </w:rPr>
              <w:t>Support</w:t>
            </w:r>
            <w:r w:rsidRPr="00E42A03">
              <w:rPr>
                <w:noProof/>
                <w:webHidden/>
                <w:sz w:val="24"/>
              </w:rPr>
              <w:tab/>
            </w:r>
            <w:r w:rsidRPr="00E42A03">
              <w:rPr>
                <w:noProof/>
                <w:webHidden/>
                <w:sz w:val="24"/>
              </w:rPr>
              <w:fldChar w:fldCharType="begin"/>
            </w:r>
            <w:r w:rsidRPr="00E42A03">
              <w:rPr>
                <w:noProof/>
                <w:webHidden/>
                <w:sz w:val="24"/>
              </w:rPr>
              <w:instrText xml:space="preserve"> PAGEREF _Toc225775764 \h </w:instrText>
            </w:r>
            <w:r w:rsidRPr="00E42A03">
              <w:rPr>
                <w:noProof/>
                <w:webHidden/>
                <w:sz w:val="24"/>
              </w:rPr>
            </w:r>
            <w:r w:rsidRPr="00E42A03">
              <w:rPr>
                <w:noProof/>
                <w:webHidden/>
                <w:sz w:val="24"/>
              </w:rPr>
              <w:fldChar w:fldCharType="separate"/>
            </w:r>
            <w:r w:rsidR="00CA1AAC">
              <w:rPr>
                <w:noProof/>
                <w:webHidden/>
                <w:sz w:val="24"/>
              </w:rPr>
              <w:t>22</w:t>
            </w:r>
            <w:r w:rsidRPr="00E42A03">
              <w:rPr>
                <w:noProof/>
                <w:webHidden/>
                <w:sz w:val="24"/>
              </w:rPr>
              <w:fldChar w:fldCharType="end"/>
            </w:r>
          </w:hyperlink>
        </w:p>
        <w:p w14:paraId="0B53B2D5" w14:textId="0FE94B58"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65" w:history="1">
            <w:r w:rsidRPr="00E42A03">
              <w:rPr>
                <w:rStyle w:val="Hyperlink"/>
                <w:noProof/>
                <w:sz w:val="24"/>
              </w:rPr>
              <w:t>Joint SLC and HEP Service Agreement</w:t>
            </w:r>
            <w:r w:rsidRPr="00E42A03">
              <w:rPr>
                <w:noProof/>
                <w:webHidden/>
                <w:sz w:val="24"/>
              </w:rPr>
              <w:tab/>
            </w:r>
            <w:r w:rsidRPr="00E42A03">
              <w:rPr>
                <w:noProof/>
                <w:webHidden/>
                <w:sz w:val="24"/>
              </w:rPr>
              <w:fldChar w:fldCharType="begin"/>
            </w:r>
            <w:r w:rsidRPr="00E42A03">
              <w:rPr>
                <w:noProof/>
                <w:webHidden/>
                <w:sz w:val="24"/>
              </w:rPr>
              <w:instrText xml:space="preserve"> PAGEREF _Toc225775765 \h </w:instrText>
            </w:r>
            <w:r w:rsidRPr="00E42A03">
              <w:rPr>
                <w:noProof/>
                <w:webHidden/>
                <w:sz w:val="24"/>
              </w:rPr>
            </w:r>
            <w:r w:rsidRPr="00E42A03">
              <w:rPr>
                <w:noProof/>
                <w:webHidden/>
                <w:sz w:val="24"/>
              </w:rPr>
              <w:fldChar w:fldCharType="separate"/>
            </w:r>
            <w:r w:rsidR="00CA1AAC">
              <w:rPr>
                <w:noProof/>
                <w:webHidden/>
                <w:sz w:val="24"/>
              </w:rPr>
              <w:t>22</w:t>
            </w:r>
            <w:r w:rsidRPr="00E42A03">
              <w:rPr>
                <w:noProof/>
                <w:webHidden/>
                <w:sz w:val="24"/>
              </w:rPr>
              <w:fldChar w:fldCharType="end"/>
            </w:r>
          </w:hyperlink>
        </w:p>
        <w:p w14:paraId="25005299" w14:textId="7A1E6874" w:rsidR="00E42A03" w:rsidRPr="00E42A03" w:rsidRDefault="00E42A03" w:rsidP="00E42A03">
          <w:pPr>
            <w:pStyle w:val="TOC1"/>
            <w:tabs>
              <w:tab w:val="right" w:leader="dot" w:pos="9628"/>
            </w:tabs>
            <w:spacing w:after="30"/>
            <w:rPr>
              <w:rFonts w:asciiTheme="minorHAnsi" w:eastAsiaTheme="minorEastAsia" w:hAnsiTheme="minorHAnsi" w:cstheme="minorBidi"/>
              <w:noProof/>
              <w:color w:val="auto"/>
              <w:sz w:val="24"/>
            </w:rPr>
          </w:pPr>
          <w:hyperlink w:anchor="_Toc225775766" w:history="1">
            <w:r w:rsidRPr="00E42A03">
              <w:rPr>
                <w:rStyle w:val="Hyperlink"/>
                <w:noProof/>
                <w:sz w:val="24"/>
              </w:rPr>
              <w:t>Appendix 1</w:t>
            </w:r>
            <w:r w:rsidRPr="00E42A03">
              <w:rPr>
                <w:noProof/>
                <w:webHidden/>
                <w:sz w:val="24"/>
              </w:rPr>
              <w:tab/>
            </w:r>
            <w:r w:rsidRPr="00E42A03">
              <w:rPr>
                <w:noProof/>
                <w:webHidden/>
                <w:sz w:val="24"/>
              </w:rPr>
              <w:fldChar w:fldCharType="begin"/>
            </w:r>
            <w:r w:rsidRPr="00E42A03">
              <w:rPr>
                <w:noProof/>
                <w:webHidden/>
                <w:sz w:val="24"/>
              </w:rPr>
              <w:instrText xml:space="preserve"> PAGEREF _Toc225775766 \h </w:instrText>
            </w:r>
            <w:r w:rsidRPr="00E42A03">
              <w:rPr>
                <w:noProof/>
                <w:webHidden/>
                <w:sz w:val="24"/>
              </w:rPr>
            </w:r>
            <w:r w:rsidRPr="00E42A03">
              <w:rPr>
                <w:noProof/>
                <w:webHidden/>
                <w:sz w:val="24"/>
              </w:rPr>
              <w:fldChar w:fldCharType="separate"/>
            </w:r>
            <w:r w:rsidR="00CA1AAC">
              <w:rPr>
                <w:noProof/>
                <w:webHidden/>
                <w:sz w:val="24"/>
              </w:rPr>
              <w:t>23</w:t>
            </w:r>
            <w:r w:rsidRPr="00E42A03">
              <w:rPr>
                <w:noProof/>
                <w:webHidden/>
                <w:sz w:val="24"/>
              </w:rPr>
              <w:fldChar w:fldCharType="end"/>
            </w:r>
          </w:hyperlink>
        </w:p>
        <w:p w14:paraId="186D7A6C" w14:textId="64FB1C44" w:rsidR="00E42A03" w:rsidRPr="00E42A03" w:rsidRDefault="00E42A03" w:rsidP="00E42A03">
          <w:pPr>
            <w:pStyle w:val="TOC2"/>
            <w:tabs>
              <w:tab w:val="right" w:leader="dot" w:pos="9628"/>
            </w:tabs>
            <w:spacing w:after="30"/>
            <w:rPr>
              <w:rFonts w:asciiTheme="minorHAnsi" w:eastAsiaTheme="minorEastAsia" w:hAnsiTheme="minorHAnsi" w:cstheme="minorBidi"/>
              <w:noProof/>
              <w:color w:val="auto"/>
              <w:sz w:val="24"/>
            </w:rPr>
          </w:pPr>
          <w:hyperlink w:anchor="_Toc225775767" w:history="1">
            <w:r w:rsidRPr="00E42A03">
              <w:rPr>
                <w:rStyle w:val="Hyperlink"/>
                <w:noProof/>
                <w:sz w:val="24"/>
              </w:rPr>
              <w:t>Service Standard Specification</w:t>
            </w:r>
            <w:r w:rsidRPr="00E42A03">
              <w:rPr>
                <w:noProof/>
                <w:webHidden/>
                <w:sz w:val="24"/>
              </w:rPr>
              <w:tab/>
            </w:r>
            <w:r w:rsidRPr="00E42A03">
              <w:rPr>
                <w:noProof/>
                <w:webHidden/>
                <w:sz w:val="24"/>
              </w:rPr>
              <w:fldChar w:fldCharType="begin"/>
            </w:r>
            <w:r w:rsidRPr="00E42A03">
              <w:rPr>
                <w:noProof/>
                <w:webHidden/>
                <w:sz w:val="24"/>
              </w:rPr>
              <w:instrText xml:space="preserve"> PAGEREF _Toc225775767 \h </w:instrText>
            </w:r>
            <w:r w:rsidRPr="00E42A03">
              <w:rPr>
                <w:noProof/>
                <w:webHidden/>
                <w:sz w:val="24"/>
              </w:rPr>
            </w:r>
            <w:r w:rsidRPr="00E42A03">
              <w:rPr>
                <w:noProof/>
                <w:webHidden/>
                <w:sz w:val="24"/>
              </w:rPr>
              <w:fldChar w:fldCharType="separate"/>
            </w:r>
            <w:r w:rsidR="00CA1AAC">
              <w:rPr>
                <w:noProof/>
                <w:webHidden/>
                <w:sz w:val="24"/>
              </w:rPr>
              <w:t>23</w:t>
            </w:r>
            <w:r w:rsidRPr="00E42A03">
              <w:rPr>
                <w:noProof/>
                <w:webHidden/>
                <w:sz w:val="24"/>
              </w:rPr>
              <w:fldChar w:fldCharType="end"/>
            </w:r>
          </w:hyperlink>
        </w:p>
        <w:p w14:paraId="24D15725" w14:textId="3AFE359C" w:rsidR="007229C2" w:rsidRPr="007229C2" w:rsidRDefault="007229C2" w:rsidP="00E42A03">
          <w:pPr>
            <w:spacing w:after="30"/>
            <w:ind w:left="0" w:firstLine="0"/>
            <w:rPr>
              <w:rFonts w:ascii="Arial" w:hAnsi="Arial" w:cs="Arial"/>
            </w:rPr>
          </w:pPr>
          <w:r w:rsidRPr="00E42A03">
            <w:fldChar w:fldCharType="end"/>
          </w:r>
        </w:p>
      </w:sdtContent>
    </w:sdt>
    <w:p w14:paraId="0B36E86D" w14:textId="77777777" w:rsidR="00630BD9" w:rsidRDefault="00630BD9" w:rsidP="007229C2">
      <w:pPr>
        <w:pStyle w:val="Body12pt"/>
        <w:rPr>
          <w:b/>
          <w:bCs/>
          <w:u w:val="single"/>
        </w:rPr>
      </w:pPr>
    </w:p>
    <w:p w14:paraId="0C2D9F6E" w14:textId="77777777" w:rsidR="007229C2" w:rsidRPr="00602A42" w:rsidRDefault="007229C2" w:rsidP="007229C2">
      <w:pPr>
        <w:pStyle w:val="Heading1"/>
        <w:ind w:left="-5"/>
        <w:rPr>
          <w:rFonts w:ascii="Calibri" w:hAnsi="Calibri" w:cs="Calibri"/>
        </w:rPr>
      </w:pPr>
      <w:bookmarkStart w:id="1" w:name="_Toc225775734"/>
      <w:r w:rsidRPr="00602A42">
        <w:rPr>
          <w:rFonts w:ascii="Calibri" w:hAnsi="Calibri" w:cs="Calibri"/>
        </w:rPr>
        <w:lastRenderedPageBreak/>
        <w:t>List of terms</w:t>
      </w:r>
      <w:bookmarkEnd w:id="1"/>
      <w:r w:rsidRPr="00602A42">
        <w:rPr>
          <w:rFonts w:ascii="Calibri" w:hAnsi="Calibri" w:cs="Calibri"/>
        </w:rPr>
        <w:t xml:space="preserve"> </w:t>
      </w:r>
    </w:p>
    <w:p w14:paraId="4D49E732" w14:textId="77777777" w:rsidR="007229C2" w:rsidRPr="00602A42" w:rsidRDefault="007229C2" w:rsidP="007229C2">
      <w:pPr>
        <w:spacing w:after="0" w:line="259" w:lineRule="auto"/>
        <w:ind w:left="0" w:firstLine="0"/>
      </w:pPr>
      <w:r w:rsidRPr="00602A42">
        <w:rPr>
          <w:sz w:val="17"/>
        </w:rPr>
        <w:t xml:space="preserve"> </w:t>
      </w:r>
    </w:p>
    <w:tbl>
      <w:tblPr>
        <w:tblStyle w:val="TableGrid0"/>
        <w:tblW w:w="10346" w:type="dxa"/>
        <w:tblInd w:w="5" w:type="dxa"/>
        <w:tblCellMar>
          <w:top w:w="53" w:type="dxa"/>
          <w:left w:w="108" w:type="dxa"/>
          <w:bottom w:w="5" w:type="dxa"/>
          <w:right w:w="78" w:type="dxa"/>
        </w:tblCellMar>
        <w:tblLook w:val="04A0" w:firstRow="1" w:lastRow="0" w:firstColumn="1" w:lastColumn="0" w:noHBand="0" w:noVBand="1"/>
      </w:tblPr>
      <w:tblGrid>
        <w:gridCol w:w="2799"/>
        <w:gridCol w:w="7547"/>
      </w:tblGrid>
      <w:tr w:rsidR="007229C2" w:rsidRPr="00602A42" w14:paraId="419F795F" w14:textId="77777777" w:rsidTr="009D2890">
        <w:trPr>
          <w:trHeight w:val="461"/>
        </w:trPr>
        <w:tc>
          <w:tcPr>
            <w:tcW w:w="2799" w:type="dxa"/>
            <w:tcBorders>
              <w:top w:val="single" w:sz="4" w:space="0" w:color="000000"/>
              <w:left w:val="single" w:sz="4" w:space="0" w:color="000000"/>
              <w:bottom w:val="single" w:sz="4" w:space="0" w:color="000000"/>
              <w:right w:val="single" w:sz="4" w:space="0" w:color="000000"/>
            </w:tcBorders>
          </w:tcPr>
          <w:p w14:paraId="273757C3" w14:textId="77777777" w:rsidR="007229C2" w:rsidRPr="00602A42" w:rsidRDefault="007229C2" w:rsidP="009D2890">
            <w:pPr>
              <w:spacing w:after="0" w:line="259" w:lineRule="auto"/>
              <w:ind w:left="0" w:firstLine="0"/>
            </w:pPr>
            <w:r w:rsidRPr="00602A42">
              <w:rPr>
                <w:b/>
              </w:rPr>
              <w:t xml:space="preserve">Term </w:t>
            </w:r>
          </w:p>
        </w:tc>
        <w:tc>
          <w:tcPr>
            <w:tcW w:w="7547" w:type="dxa"/>
            <w:tcBorders>
              <w:top w:val="single" w:sz="4" w:space="0" w:color="000000"/>
              <w:left w:val="single" w:sz="4" w:space="0" w:color="000000"/>
              <w:bottom w:val="single" w:sz="4" w:space="0" w:color="000000"/>
              <w:right w:val="single" w:sz="4" w:space="0" w:color="000000"/>
            </w:tcBorders>
          </w:tcPr>
          <w:p w14:paraId="112E8B37" w14:textId="77777777" w:rsidR="007229C2" w:rsidRPr="00602A42" w:rsidRDefault="007229C2" w:rsidP="00237C64">
            <w:pPr>
              <w:spacing w:after="0" w:line="259" w:lineRule="auto"/>
              <w:ind w:left="113" w:firstLine="0"/>
            </w:pPr>
            <w:r w:rsidRPr="00602A42">
              <w:rPr>
                <w:b/>
              </w:rPr>
              <w:t xml:space="preserve">Definition </w:t>
            </w:r>
          </w:p>
        </w:tc>
      </w:tr>
      <w:tr w:rsidR="007229C2" w:rsidRPr="00602A42" w14:paraId="630E1E03" w14:textId="77777777" w:rsidTr="009D2890">
        <w:trPr>
          <w:trHeight w:val="425"/>
        </w:trPr>
        <w:tc>
          <w:tcPr>
            <w:tcW w:w="2799" w:type="dxa"/>
            <w:tcBorders>
              <w:top w:val="single" w:sz="4" w:space="0" w:color="000000"/>
              <w:left w:val="single" w:sz="4" w:space="0" w:color="000000"/>
              <w:bottom w:val="single" w:sz="4" w:space="0" w:color="000000"/>
              <w:right w:val="single" w:sz="4" w:space="0" w:color="000000"/>
            </w:tcBorders>
          </w:tcPr>
          <w:p w14:paraId="1E001ACA" w14:textId="397A0C73" w:rsidR="007229C2" w:rsidRPr="00602A42" w:rsidRDefault="00771D7A" w:rsidP="009D2890">
            <w:pPr>
              <w:spacing w:after="0" w:line="259" w:lineRule="auto"/>
              <w:ind w:left="0" w:firstLine="0"/>
            </w:pPr>
            <w:r w:rsidRPr="00602A42">
              <w:t>CY</w:t>
            </w:r>
            <w:r w:rsidR="001870AD" w:rsidRPr="00602A42">
              <w:t xml:space="preserve"> </w:t>
            </w:r>
          </w:p>
        </w:tc>
        <w:tc>
          <w:tcPr>
            <w:tcW w:w="7547" w:type="dxa"/>
            <w:tcBorders>
              <w:top w:val="single" w:sz="4" w:space="0" w:color="000000"/>
              <w:left w:val="single" w:sz="4" w:space="0" w:color="000000"/>
              <w:bottom w:val="single" w:sz="4" w:space="0" w:color="000000"/>
              <w:right w:val="single" w:sz="4" w:space="0" w:color="000000"/>
            </w:tcBorders>
          </w:tcPr>
          <w:p w14:paraId="051072BB" w14:textId="1CCE2157" w:rsidR="007229C2" w:rsidRPr="00602A42" w:rsidRDefault="00771D7A" w:rsidP="00667046">
            <w:pPr>
              <w:spacing w:after="0" w:line="259" w:lineRule="auto"/>
              <w:ind w:left="113" w:firstLine="0"/>
              <w:jc w:val="both"/>
            </w:pPr>
            <w:r w:rsidRPr="00602A42">
              <w:rPr>
                <w:sz w:val="22"/>
                <w:szCs w:val="22"/>
              </w:rPr>
              <w:t>Course</w:t>
            </w:r>
            <w:r w:rsidR="001870AD" w:rsidRPr="00602A42">
              <w:rPr>
                <w:sz w:val="22"/>
                <w:szCs w:val="22"/>
              </w:rPr>
              <w:t xml:space="preserve"> </w:t>
            </w:r>
            <w:r w:rsidR="007229C2" w:rsidRPr="00602A42">
              <w:rPr>
                <w:sz w:val="22"/>
                <w:szCs w:val="22"/>
              </w:rPr>
              <w:t>year</w:t>
            </w:r>
            <w:r w:rsidRPr="00602A42">
              <w:rPr>
                <w:sz w:val="22"/>
                <w:szCs w:val="22"/>
              </w:rPr>
              <w:t xml:space="preserve">, </w:t>
            </w:r>
            <w:r w:rsidR="00D80B67" w:rsidRPr="00602A42">
              <w:rPr>
                <w:sz w:val="22"/>
                <w:szCs w:val="22"/>
              </w:rPr>
              <w:t xml:space="preserve">the period of twelve months beginning with the first day of the calendar month in which the </w:t>
            </w:r>
            <w:r w:rsidR="00C933A3" w:rsidRPr="00602A42">
              <w:rPr>
                <w:sz w:val="22"/>
                <w:szCs w:val="22"/>
              </w:rPr>
              <w:t xml:space="preserve">module or </w:t>
            </w:r>
            <w:r w:rsidR="00D80B67" w:rsidRPr="00602A42">
              <w:rPr>
                <w:sz w:val="22"/>
                <w:szCs w:val="22"/>
              </w:rPr>
              <w:t xml:space="preserve">course begins (“the first course year”), </w:t>
            </w:r>
            <w:r w:rsidR="00E350F1" w:rsidRPr="00602A42">
              <w:rPr>
                <w:sz w:val="22"/>
                <w:szCs w:val="22"/>
              </w:rPr>
              <w:t xml:space="preserve">and each subsequent period of twelve calendar months in which part of the </w:t>
            </w:r>
            <w:r w:rsidR="00BC6FC4" w:rsidRPr="00602A42">
              <w:rPr>
                <w:sz w:val="22"/>
                <w:szCs w:val="22"/>
              </w:rPr>
              <w:t xml:space="preserve">module or </w:t>
            </w:r>
            <w:r w:rsidR="00E350F1" w:rsidRPr="00602A42">
              <w:rPr>
                <w:sz w:val="22"/>
                <w:szCs w:val="22"/>
              </w:rPr>
              <w:t>course is undertaken.</w:t>
            </w:r>
          </w:p>
        </w:tc>
      </w:tr>
      <w:tr w:rsidR="007229C2" w:rsidRPr="00602A42" w14:paraId="7F32660C"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2FA24E21" w14:textId="77777777" w:rsidR="007229C2" w:rsidRPr="00602A42" w:rsidRDefault="007229C2" w:rsidP="00165C11">
            <w:pPr>
              <w:spacing w:after="0" w:line="259" w:lineRule="auto"/>
              <w:ind w:left="0" w:firstLine="0"/>
            </w:pPr>
            <w:r w:rsidRPr="00602A42">
              <w:t xml:space="preserve">BACS </w:t>
            </w:r>
          </w:p>
        </w:tc>
        <w:tc>
          <w:tcPr>
            <w:tcW w:w="7547" w:type="dxa"/>
            <w:tcBorders>
              <w:top w:val="single" w:sz="4" w:space="0" w:color="000000"/>
              <w:left w:val="single" w:sz="4" w:space="0" w:color="000000"/>
              <w:bottom w:val="single" w:sz="4" w:space="0" w:color="000000"/>
              <w:right w:val="single" w:sz="4" w:space="0" w:color="000000"/>
            </w:tcBorders>
            <w:vAlign w:val="center"/>
          </w:tcPr>
          <w:p w14:paraId="009C1731" w14:textId="3C78629F" w:rsidR="007229C2" w:rsidRPr="00602A42" w:rsidRDefault="007229C2" w:rsidP="00165C11">
            <w:pPr>
              <w:spacing w:after="0" w:line="259" w:lineRule="auto"/>
              <w:ind w:left="113" w:firstLine="0"/>
            </w:pPr>
            <w:r w:rsidRPr="00602A42">
              <w:t>Bank</w:t>
            </w:r>
            <w:r w:rsidR="0050664F" w:rsidRPr="00602A42">
              <w:t>er</w:t>
            </w:r>
            <w:r w:rsidRPr="00602A42">
              <w:t>s</w:t>
            </w:r>
            <w:r w:rsidR="0050664F" w:rsidRPr="00602A42">
              <w:t>’</w:t>
            </w:r>
            <w:r w:rsidRPr="00602A42">
              <w:t xml:space="preserve"> Automated Clearing System </w:t>
            </w:r>
          </w:p>
        </w:tc>
      </w:tr>
      <w:tr w:rsidR="007229C2" w:rsidRPr="00602A42" w14:paraId="4A6E4E55"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4B81E3DB" w14:textId="77777777" w:rsidR="007229C2" w:rsidRPr="00602A42" w:rsidRDefault="007229C2" w:rsidP="00165C11">
            <w:pPr>
              <w:spacing w:after="0" w:line="259" w:lineRule="auto"/>
              <w:ind w:left="0" w:firstLine="0"/>
            </w:pPr>
            <w:proofErr w:type="spellStart"/>
            <w:r w:rsidRPr="00602A42">
              <w:t>CoB</w:t>
            </w:r>
            <w:proofErr w:type="spellEnd"/>
            <w:r w:rsidRPr="00602A42">
              <w:t xml:space="preserve"> </w:t>
            </w:r>
          </w:p>
        </w:tc>
        <w:tc>
          <w:tcPr>
            <w:tcW w:w="7547" w:type="dxa"/>
            <w:tcBorders>
              <w:top w:val="single" w:sz="4" w:space="0" w:color="000000"/>
              <w:left w:val="single" w:sz="4" w:space="0" w:color="000000"/>
              <w:bottom w:val="single" w:sz="4" w:space="0" w:color="000000"/>
              <w:right w:val="single" w:sz="4" w:space="0" w:color="000000"/>
            </w:tcBorders>
            <w:vAlign w:val="center"/>
          </w:tcPr>
          <w:p w14:paraId="510F1390" w14:textId="77777777" w:rsidR="007229C2" w:rsidRPr="00602A42" w:rsidRDefault="007229C2" w:rsidP="00165C11">
            <w:pPr>
              <w:spacing w:after="0" w:line="259" w:lineRule="auto"/>
              <w:ind w:left="113" w:firstLine="0"/>
            </w:pPr>
            <w:r w:rsidRPr="00602A42">
              <w:t xml:space="preserve">Close of business </w:t>
            </w:r>
          </w:p>
        </w:tc>
      </w:tr>
      <w:tr w:rsidR="007229C2" w:rsidRPr="00602A42" w14:paraId="53DFDAE9" w14:textId="77777777" w:rsidTr="00165C11">
        <w:trPr>
          <w:trHeight w:val="420"/>
        </w:trPr>
        <w:tc>
          <w:tcPr>
            <w:tcW w:w="2799" w:type="dxa"/>
            <w:tcBorders>
              <w:top w:val="single" w:sz="4" w:space="0" w:color="000000"/>
              <w:left w:val="single" w:sz="4" w:space="0" w:color="000000"/>
              <w:bottom w:val="single" w:sz="4" w:space="0" w:color="000000"/>
              <w:right w:val="single" w:sz="4" w:space="0" w:color="000000"/>
            </w:tcBorders>
            <w:vAlign w:val="center"/>
          </w:tcPr>
          <w:p w14:paraId="04BFF69D" w14:textId="77777777" w:rsidR="007229C2" w:rsidRPr="00602A42" w:rsidRDefault="007229C2" w:rsidP="00165C11">
            <w:pPr>
              <w:spacing w:after="0" w:line="259" w:lineRule="auto"/>
              <w:ind w:left="0" w:firstLine="0"/>
            </w:pPr>
            <w:r w:rsidRPr="00602A42">
              <w:t xml:space="preserve">CoC </w:t>
            </w:r>
          </w:p>
        </w:tc>
        <w:tc>
          <w:tcPr>
            <w:tcW w:w="7547" w:type="dxa"/>
            <w:tcBorders>
              <w:top w:val="single" w:sz="4" w:space="0" w:color="000000"/>
              <w:left w:val="single" w:sz="4" w:space="0" w:color="000000"/>
              <w:bottom w:val="single" w:sz="4" w:space="0" w:color="000000"/>
              <w:right w:val="single" w:sz="4" w:space="0" w:color="000000"/>
            </w:tcBorders>
            <w:vAlign w:val="center"/>
          </w:tcPr>
          <w:p w14:paraId="53648F72" w14:textId="77777777" w:rsidR="007229C2" w:rsidRPr="00602A42" w:rsidRDefault="007229C2" w:rsidP="00165C11">
            <w:pPr>
              <w:spacing w:after="0" w:line="259" w:lineRule="auto"/>
              <w:ind w:left="113" w:firstLine="0"/>
            </w:pPr>
            <w:r w:rsidRPr="00602A42">
              <w:t xml:space="preserve">Change of Circumstance </w:t>
            </w:r>
          </w:p>
        </w:tc>
      </w:tr>
      <w:tr w:rsidR="007229C2" w:rsidRPr="00602A42" w14:paraId="26ABBB00" w14:textId="77777777" w:rsidTr="0050664F">
        <w:trPr>
          <w:trHeight w:val="655"/>
        </w:trPr>
        <w:tc>
          <w:tcPr>
            <w:tcW w:w="2799" w:type="dxa"/>
            <w:tcBorders>
              <w:top w:val="single" w:sz="4" w:space="0" w:color="000000"/>
              <w:left w:val="single" w:sz="4" w:space="0" w:color="000000"/>
              <w:bottom w:val="single" w:sz="4" w:space="0" w:color="000000"/>
              <w:right w:val="single" w:sz="4" w:space="0" w:color="000000"/>
            </w:tcBorders>
          </w:tcPr>
          <w:p w14:paraId="4DDDF5F5" w14:textId="77777777" w:rsidR="007229C2" w:rsidRPr="00602A42" w:rsidRDefault="007229C2" w:rsidP="0050664F">
            <w:pPr>
              <w:spacing w:after="0" w:line="259" w:lineRule="auto"/>
              <w:ind w:left="0" w:firstLine="0"/>
            </w:pPr>
            <w:r w:rsidRPr="00602A42">
              <w:t xml:space="preserve">Cooling off period </w:t>
            </w:r>
          </w:p>
        </w:tc>
        <w:tc>
          <w:tcPr>
            <w:tcW w:w="7547" w:type="dxa"/>
            <w:tcBorders>
              <w:top w:val="single" w:sz="4" w:space="0" w:color="000000"/>
              <w:left w:val="single" w:sz="4" w:space="0" w:color="000000"/>
              <w:bottom w:val="single" w:sz="4" w:space="0" w:color="000000"/>
              <w:right w:val="single" w:sz="4" w:space="0" w:color="000000"/>
            </w:tcBorders>
          </w:tcPr>
          <w:p w14:paraId="5731A59F" w14:textId="099C94A5" w:rsidR="007229C2" w:rsidRPr="00602A42" w:rsidRDefault="007229C2" w:rsidP="00237C64">
            <w:pPr>
              <w:spacing w:after="0" w:line="259" w:lineRule="auto"/>
              <w:ind w:left="113" w:right="18" w:firstLine="0"/>
            </w:pPr>
            <w:r w:rsidRPr="00602A42">
              <w:t xml:space="preserve">A </w:t>
            </w:r>
            <w:r w:rsidR="0004285A" w:rsidRPr="00602A42">
              <w:t xml:space="preserve">mandatory </w:t>
            </w:r>
            <w:r w:rsidR="0050664F" w:rsidRPr="00602A42">
              <w:t xml:space="preserve">minimum </w:t>
            </w:r>
            <w:r w:rsidRPr="00602A42">
              <w:t xml:space="preserve">period of </w:t>
            </w:r>
            <w:r w:rsidR="0004285A" w:rsidRPr="00602A42">
              <w:t xml:space="preserve">14 days </w:t>
            </w:r>
            <w:r w:rsidRPr="00602A42">
              <w:t xml:space="preserve">at the beginning of a </w:t>
            </w:r>
            <w:r w:rsidR="0040487B" w:rsidRPr="00602A42">
              <w:t xml:space="preserve">module or </w:t>
            </w:r>
            <w:r w:rsidR="0004285A" w:rsidRPr="00602A42">
              <w:t>course</w:t>
            </w:r>
            <w:r w:rsidR="00616534" w:rsidRPr="00602A42">
              <w:t xml:space="preserve"> </w:t>
            </w:r>
            <w:r w:rsidRPr="00602A42">
              <w:t xml:space="preserve">when a student may engage in study without being liable for </w:t>
            </w:r>
            <w:r w:rsidR="000A28EA" w:rsidRPr="00602A42">
              <w:t>fees</w:t>
            </w:r>
            <w:r w:rsidR="00616534" w:rsidRPr="00602A42">
              <w:t>.</w:t>
            </w:r>
            <w:r w:rsidRPr="00602A42">
              <w:t xml:space="preserve"> </w:t>
            </w:r>
          </w:p>
        </w:tc>
      </w:tr>
      <w:tr w:rsidR="007229C2" w:rsidRPr="00602A42" w14:paraId="7E586174"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2531BA9B" w14:textId="77777777" w:rsidR="007229C2" w:rsidRPr="00602A42" w:rsidRDefault="007229C2" w:rsidP="00165C11">
            <w:pPr>
              <w:spacing w:after="0" w:line="259" w:lineRule="auto"/>
              <w:ind w:left="0" w:firstLine="0"/>
            </w:pPr>
            <w:r w:rsidRPr="00602A42">
              <w:t xml:space="preserve">CRN </w:t>
            </w:r>
          </w:p>
        </w:tc>
        <w:tc>
          <w:tcPr>
            <w:tcW w:w="7547" w:type="dxa"/>
            <w:tcBorders>
              <w:top w:val="single" w:sz="4" w:space="0" w:color="000000"/>
              <w:left w:val="single" w:sz="4" w:space="0" w:color="000000"/>
              <w:bottom w:val="single" w:sz="4" w:space="0" w:color="000000"/>
              <w:right w:val="single" w:sz="4" w:space="0" w:color="000000"/>
            </w:tcBorders>
            <w:vAlign w:val="center"/>
          </w:tcPr>
          <w:p w14:paraId="7FD08A58" w14:textId="77777777" w:rsidR="007229C2" w:rsidRPr="00602A42" w:rsidRDefault="007229C2" w:rsidP="00165C11">
            <w:pPr>
              <w:spacing w:after="0" w:line="259" w:lineRule="auto"/>
              <w:ind w:left="113" w:firstLine="0"/>
            </w:pPr>
            <w:r w:rsidRPr="00602A42">
              <w:t xml:space="preserve">Customer Reference Number </w:t>
            </w:r>
          </w:p>
        </w:tc>
      </w:tr>
      <w:tr w:rsidR="007229C2" w:rsidRPr="00602A42" w14:paraId="27766996" w14:textId="77777777" w:rsidTr="00165C11">
        <w:trPr>
          <w:trHeight w:val="423"/>
        </w:trPr>
        <w:tc>
          <w:tcPr>
            <w:tcW w:w="2799" w:type="dxa"/>
            <w:tcBorders>
              <w:top w:val="single" w:sz="4" w:space="0" w:color="000000"/>
              <w:left w:val="single" w:sz="4" w:space="0" w:color="000000"/>
              <w:bottom w:val="single" w:sz="4" w:space="0" w:color="000000"/>
              <w:right w:val="single" w:sz="4" w:space="0" w:color="000000"/>
            </w:tcBorders>
            <w:vAlign w:val="center"/>
          </w:tcPr>
          <w:p w14:paraId="1F9F995A" w14:textId="77777777" w:rsidR="007229C2" w:rsidRPr="00602A42" w:rsidRDefault="007229C2" w:rsidP="00165C11">
            <w:pPr>
              <w:spacing w:after="0" w:line="259" w:lineRule="auto"/>
              <w:ind w:left="0" w:firstLine="0"/>
            </w:pPr>
            <w:r w:rsidRPr="00602A42">
              <w:t xml:space="preserve">FT </w:t>
            </w:r>
          </w:p>
        </w:tc>
        <w:tc>
          <w:tcPr>
            <w:tcW w:w="7547" w:type="dxa"/>
            <w:tcBorders>
              <w:top w:val="single" w:sz="4" w:space="0" w:color="000000"/>
              <w:left w:val="single" w:sz="4" w:space="0" w:color="000000"/>
              <w:bottom w:val="single" w:sz="4" w:space="0" w:color="000000"/>
              <w:right w:val="single" w:sz="4" w:space="0" w:color="000000"/>
            </w:tcBorders>
            <w:vAlign w:val="center"/>
          </w:tcPr>
          <w:p w14:paraId="48CACF10" w14:textId="77777777" w:rsidR="007229C2" w:rsidRPr="00602A42" w:rsidRDefault="007229C2" w:rsidP="00165C11">
            <w:pPr>
              <w:spacing w:after="0" w:line="259" w:lineRule="auto"/>
              <w:ind w:left="113" w:firstLine="0"/>
            </w:pPr>
            <w:r w:rsidRPr="00602A42">
              <w:t xml:space="preserve">Full-time </w:t>
            </w:r>
          </w:p>
        </w:tc>
      </w:tr>
      <w:tr w:rsidR="003769BD" w:rsidRPr="00602A42" w14:paraId="63B31F18" w14:textId="77777777" w:rsidTr="00165C11">
        <w:trPr>
          <w:trHeight w:val="423"/>
        </w:trPr>
        <w:tc>
          <w:tcPr>
            <w:tcW w:w="2799" w:type="dxa"/>
            <w:tcBorders>
              <w:top w:val="single" w:sz="4" w:space="0" w:color="000000"/>
              <w:left w:val="single" w:sz="4" w:space="0" w:color="000000"/>
              <w:bottom w:val="single" w:sz="4" w:space="0" w:color="000000"/>
              <w:right w:val="single" w:sz="4" w:space="0" w:color="000000"/>
            </w:tcBorders>
            <w:vAlign w:val="center"/>
          </w:tcPr>
          <w:p w14:paraId="28BB79F0" w14:textId="1495EE01" w:rsidR="003769BD" w:rsidRPr="00602A42" w:rsidRDefault="003769BD" w:rsidP="00165C11">
            <w:pPr>
              <w:spacing w:after="0" w:line="259" w:lineRule="auto"/>
              <w:ind w:left="0" w:firstLine="0"/>
            </w:pPr>
            <w:r w:rsidRPr="00602A42">
              <w:t>HE</w:t>
            </w:r>
          </w:p>
        </w:tc>
        <w:tc>
          <w:tcPr>
            <w:tcW w:w="7547" w:type="dxa"/>
            <w:tcBorders>
              <w:top w:val="single" w:sz="4" w:space="0" w:color="000000"/>
              <w:left w:val="single" w:sz="4" w:space="0" w:color="000000"/>
              <w:bottom w:val="single" w:sz="4" w:space="0" w:color="000000"/>
              <w:right w:val="single" w:sz="4" w:space="0" w:color="000000"/>
            </w:tcBorders>
            <w:vAlign w:val="center"/>
          </w:tcPr>
          <w:p w14:paraId="3B41BB16" w14:textId="20F673B3" w:rsidR="003769BD" w:rsidRPr="00602A42" w:rsidRDefault="003769BD" w:rsidP="00165C11">
            <w:pPr>
              <w:spacing w:after="0" w:line="259" w:lineRule="auto"/>
              <w:ind w:left="113" w:firstLine="0"/>
            </w:pPr>
            <w:r w:rsidRPr="00602A42">
              <w:t>Higher Education</w:t>
            </w:r>
          </w:p>
        </w:tc>
      </w:tr>
      <w:tr w:rsidR="007229C2" w:rsidRPr="00602A42" w14:paraId="69A30853" w14:textId="77777777" w:rsidTr="00237C64">
        <w:trPr>
          <w:trHeight w:val="655"/>
        </w:trPr>
        <w:tc>
          <w:tcPr>
            <w:tcW w:w="2799" w:type="dxa"/>
            <w:tcBorders>
              <w:top w:val="single" w:sz="4" w:space="0" w:color="000000"/>
              <w:left w:val="single" w:sz="4" w:space="0" w:color="000000"/>
              <w:bottom w:val="single" w:sz="4" w:space="0" w:color="000000"/>
              <w:right w:val="single" w:sz="4" w:space="0" w:color="000000"/>
            </w:tcBorders>
          </w:tcPr>
          <w:p w14:paraId="04BD71FE" w14:textId="77777777" w:rsidR="007229C2" w:rsidRPr="00602A42" w:rsidRDefault="007229C2" w:rsidP="00237C64">
            <w:pPr>
              <w:spacing w:after="0" w:line="259" w:lineRule="auto"/>
              <w:ind w:left="0" w:firstLine="0"/>
            </w:pPr>
            <w:r w:rsidRPr="00602A42">
              <w:t xml:space="preserve">HE Gateway </w:t>
            </w:r>
          </w:p>
        </w:tc>
        <w:tc>
          <w:tcPr>
            <w:tcW w:w="7547" w:type="dxa"/>
            <w:tcBorders>
              <w:top w:val="single" w:sz="4" w:space="0" w:color="000000"/>
              <w:left w:val="single" w:sz="4" w:space="0" w:color="000000"/>
              <w:bottom w:val="single" w:sz="4" w:space="0" w:color="000000"/>
              <w:right w:val="single" w:sz="4" w:space="0" w:color="000000"/>
            </w:tcBorders>
          </w:tcPr>
          <w:p w14:paraId="72CAD039" w14:textId="7A92DAC0" w:rsidR="007229C2" w:rsidRPr="00602A42" w:rsidRDefault="007229C2" w:rsidP="00237C64">
            <w:pPr>
              <w:spacing w:after="0" w:line="259" w:lineRule="auto"/>
              <w:ind w:left="113" w:firstLine="0"/>
            </w:pPr>
            <w:r w:rsidRPr="00602A42">
              <w:t xml:space="preserve">A secure website to provide administration services to </w:t>
            </w:r>
            <w:r w:rsidR="00D5079C" w:rsidRPr="00602A42">
              <w:t xml:space="preserve">providers of </w:t>
            </w:r>
            <w:r w:rsidR="003769BD" w:rsidRPr="00602A42">
              <w:t>HE</w:t>
            </w:r>
            <w:r w:rsidR="00D5079C" w:rsidRPr="00602A42">
              <w:t xml:space="preserve"> </w:t>
            </w:r>
            <w:r w:rsidR="000120AD" w:rsidRPr="00602A42">
              <w:t xml:space="preserve">modules or </w:t>
            </w:r>
            <w:r w:rsidR="00D5079C" w:rsidRPr="00602A42">
              <w:t>courses</w:t>
            </w:r>
            <w:r w:rsidRPr="00602A42">
              <w:t xml:space="preserve"> in support of student funding</w:t>
            </w:r>
            <w:r w:rsidR="00E53B8F" w:rsidRPr="00602A42">
              <w:t>.</w:t>
            </w:r>
            <w:r w:rsidRPr="00602A42">
              <w:t xml:space="preserve"> </w:t>
            </w:r>
          </w:p>
        </w:tc>
      </w:tr>
      <w:tr w:rsidR="007229C2" w:rsidRPr="00602A42" w14:paraId="7654E33F" w14:textId="77777777" w:rsidTr="00E53B8F">
        <w:trPr>
          <w:trHeight w:val="1891"/>
        </w:trPr>
        <w:tc>
          <w:tcPr>
            <w:tcW w:w="2799" w:type="dxa"/>
            <w:tcBorders>
              <w:top w:val="single" w:sz="4" w:space="0" w:color="000000"/>
              <w:left w:val="single" w:sz="4" w:space="0" w:color="000000"/>
              <w:bottom w:val="single" w:sz="4" w:space="0" w:color="000000"/>
              <w:right w:val="single" w:sz="4" w:space="0" w:color="000000"/>
            </w:tcBorders>
          </w:tcPr>
          <w:p w14:paraId="7E65FDCC" w14:textId="5B4CDD83" w:rsidR="007229C2" w:rsidRPr="00602A42" w:rsidRDefault="007229C2" w:rsidP="00E53B8F">
            <w:pPr>
              <w:spacing w:after="0" w:line="259" w:lineRule="auto"/>
              <w:ind w:left="0" w:firstLine="0"/>
            </w:pPr>
            <w:r w:rsidRPr="00602A42">
              <w:t xml:space="preserve">HEP </w:t>
            </w:r>
          </w:p>
        </w:tc>
        <w:tc>
          <w:tcPr>
            <w:tcW w:w="7547" w:type="dxa"/>
            <w:tcBorders>
              <w:top w:val="single" w:sz="4" w:space="0" w:color="000000"/>
              <w:left w:val="single" w:sz="4" w:space="0" w:color="000000"/>
              <w:bottom w:val="single" w:sz="4" w:space="0" w:color="000000"/>
              <w:right w:val="single" w:sz="4" w:space="0" w:color="000000"/>
            </w:tcBorders>
          </w:tcPr>
          <w:p w14:paraId="29C681C2" w14:textId="1B0A51FD" w:rsidR="007229C2" w:rsidRPr="00602A42" w:rsidRDefault="007229C2" w:rsidP="00E53B8F">
            <w:pPr>
              <w:spacing w:after="25" w:line="259" w:lineRule="auto"/>
              <w:ind w:left="113" w:firstLine="0"/>
            </w:pPr>
            <w:r w:rsidRPr="00602A42">
              <w:t xml:space="preserve">Higher </w:t>
            </w:r>
            <w:r w:rsidR="003769BD" w:rsidRPr="00602A42">
              <w:t>E</w:t>
            </w:r>
            <w:r w:rsidRPr="00602A42">
              <w:t xml:space="preserve">ducation </w:t>
            </w:r>
            <w:r w:rsidR="003769BD" w:rsidRPr="00602A42">
              <w:t>P</w:t>
            </w:r>
            <w:r w:rsidRPr="00602A42">
              <w:t xml:space="preserve">rovider – refers to: </w:t>
            </w:r>
          </w:p>
          <w:p w14:paraId="3F6CB2B0" w14:textId="75F80A02" w:rsidR="007229C2" w:rsidRPr="00602A42" w:rsidRDefault="00E53B8F" w:rsidP="003769BD">
            <w:pPr>
              <w:pStyle w:val="ListParagraph"/>
              <w:numPr>
                <w:ilvl w:val="0"/>
                <w:numId w:val="20"/>
              </w:numPr>
              <w:spacing w:after="0" w:line="259" w:lineRule="auto"/>
            </w:pPr>
            <w:r w:rsidRPr="00602A42">
              <w:t>U</w:t>
            </w:r>
            <w:r w:rsidR="007229C2" w:rsidRPr="00602A42">
              <w:t xml:space="preserve">niversities </w:t>
            </w:r>
          </w:p>
          <w:p w14:paraId="480FE127" w14:textId="1CBCBA3A" w:rsidR="007229C2" w:rsidRPr="00602A42" w:rsidRDefault="00E53B8F" w:rsidP="003769BD">
            <w:pPr>
              <w:pStyle w:val="ListParagraph"/>
              <w:numPr>
                <w:ilvl w:val="0"/>
                <w:numId w:val="20"/>
              </w:numPr>
              <w:spacing w:after="0" w:line="259" w:lineRule="auto"/>
            </w:pPr>
            <w:r w:rsidRPr="00602A42">
              <w:t>H</w:t>
            </w:r>
            <w:r w:rsidR="007229C2" w:rsidRPr="00602A42">
              <w:t xml:space="preserve">igher </w:t>
            </w:r>
            <w:r w:rsidRPr="00602A42">
              <w:t>E</w:t>
            </w:r>
            <w:r w:rsidR="007229C2" w:rsidRPr="00602A42">
              <w:t xml:space="preserve">ducation colleges </w:t>
            </w:r>
          </w:p>
          <w:p w14:paraId="243D7F7E" w14:textId="1FBB623E" w:rsidR="007229C2" w:rsidRPr="00602A42" w:rsidRDefault="003769BD" w:rsidP="003769BD">
            <w:pPr>
              <w:pStyle w:val="ListParagraph"/>
              <w:numPr>
                <w:ilvl w:val="0"/>
                <w:numId w:val="20"/>
              </w:numPr>
              <w:spacing w:after="0" w:line="259" w:lineRule="auto"/>
            </w:pPr>
            <w:r w:rsidRPr="00602A42">
              <w:t>F</w:t>
            </w:r>
            <w:r w:rsidR="007229C2" w:rsidRPr="00602A42">
              <w:t xml:space="preserve">urther </w:t>
            </w:r>
            <w:r w:rsidRPr="00602A42">
              <w:t>E</w:t>
            </w:r>
            <w:r w:rsidR="007229C2" w:rsidRPr="00602A42">
              <w:t xml:space="preserve">ducation </w:t>
            </w:r>
            <w:r w:rsidRPr="00602A42">
              <w:t>C</w:t>
            </w:r>
            <w:r w:rsidR="007229C2" w:rsidRPr="00602A42">
              <w:t xml:space="preserve">olleges providing </w:t>
            </w:r>
            <w:r w:rsidRPr="00602A42">
              <w:t>HE</w:t>
            </w:r>
            <w:r w:rsidR="007229C2" w:rsidRPr="00602A42">
              <w:t xml:space="preserve"> </w:t>
            </w:r>
            <w:r w:rsidR="000120AD" w:rsidRPr="00602A42">
              <w:t xml:space="preserve">modules or </w:t>
            </w:r>
            <w:r w:rsidR="007229C2" w:rsidRPr="00602A42">
              <w:t>courses</w:t>
            </w:r>
            <w:r w:rsidR="0008474F" w:rsidRPr="00602A42">
              <w:t xml:space="preserve"> </w:t>
            </w:r>
            <w:r w:rsidR="0008474F" w:rsidRPr="00602A42">
              <w:rPr>
                <w:kern w:val="0"/>
                <w14:ligatures w14:val="none"/>
              </w:rPr>
              <w:t xml:space="preserve">and former Advanced Learner Loans </w:t>
            </w:r>
            <w:r w:rsidR="007229C2" w:rsidRPr="00602A42">
              <w:t xml:space="preserve"> </w:t>
            </w:r>
          </w:p>
          <w:p w14:paraId="6650D4F2" w14:textId="701576D1" w:rsidR="007229C2" w:rsidRPr="00602A42" w:rsidRDefault="003769BD" w:rsidP="003769BD">
            <w:pPr>
              <w:pStyle w:val="ListParagraph"/>
              <w:numPr>
                <w:ilvl w:val="0"/>
                <w:numId w:val="20"/>
              </w:numPr>
              <w:spacing w:after="0" w:line="259" w:lineRule="auto"/>
            </w:pPr>
            <w:r w:rsidRPr="00602A42">
              <w:t>P</w:t>
            </w:r>
            <w:r w:rsidR="007229C2" w:rsidRPr="00602A42">
              <w:t xml:space="preserve">rivate providers </w:t>
            </w:r>
          </w:p>
          <w:p w14:paraId="46062F64" w14:textId="027C17DB" w:rsidR="007229C2" w:rsidRPr="00602A42" w:rsidRDefault="007229C2" w:rsidP="003769BD">
            <w:pPr>
              <w:pStyle w:val="ListParagraph"/>
              <w:numPr>
                <w:ilvl w:val="0"/>
                <w:numId w:val="20"/>
              </w:numPr>
              <w:spacing w:after="0" w:line="259" w:lineRule="auto"/>
            </w:pPr>
            <w:r w:rsidRPr="00602A42">
              <w:t>SCITT</w:t>
            </w:r>
            <w:r w:rsidR="000E2823" w:rsidRPr="00602A42">
              <w:t>s</w:t>
            </w:r>
            <w:r w:rsidRPr="00602A42">
              <w:t xml:space="preserve"> </w:t>
            </w:r>
          </w:p>
        </w:tc>
      </w:tr>
      <w:tr w:rsidR="007229C2" w:rsidRPr="00602A42" w14:paraId="29E6814B" w14:textId="77777777" w:rsidTr="009D2890">
        <w:trPr>
          <w:trHeight w:val="425"/>
        </w:trPr>
        <w:tc>
          <w:tcPr>
            <w:tcW w:w="2799" w:type="dxa"/>
            <w:tcBorders>
              <w:top w:val="single" w:sz="4" w:space="0" w:color="000000"/>
              <w:left w:val="single" w:sz="4" w:space="0" w:color="000000"/>
              <w:bottom w:val="single" w:sz="4" w:space="0" w:color="000000"/>
              <w:right w:val="single" w:sz="4" w:space="0" w:color="000000"/>
            </w:tcBorders>
          </w:tcPr>
          <w:p w14:paraId="319ED283" w14:textId="77777777" w:rsidR="007229C2" w:rsidRPr="00602A42" w:rsidRDefault="007229C2" w:rsidP="009D2890">
            <w:pPr>
              <w:spacing w:after="0" w:line="259" w:lineRule="auto"/>
              <w:ind w:left="0" w:firstLine="0"/>
            </w:pPr>
            <w:r w:rsidRPr="00602A42">
              <w:t xml:space="preserve">Maintenance </w:t>
            </w:r>
          </w:p>
        </w:tc>
        <w:tc>
          <w:tcPr>
            <w:tcW w:w="7547" w:type="dxa"/>
            <w:tcBorders>
              <w:top w:val="single" w:sz="4" w:space="0" w:color="000000"/>
              <w:left w:val="single" w:sz="4" w:space="0" w:color="000000"/>
              <w:bottom w:val="single" w:sz="4" w:space="0" w:color="000000"/>
              <w:right w:val="single" w:sz="4" w:space="0" w:color="000000"/>
            </w:tcBorders>
          </w:tcPr>
          <w:p w14:paraId="34FEB159" w14:textId="5ADE0FBE" w:rsidR="007229C2" w:rsidRPr="00602A42" w:rsidRDefault="0008474F" w:rsidP="00237C64">
            <w:pPr>
              <w:spacing w:after="0" w:line="259" w:lineRule="auto"/>
              <w:ind w:left="113" w:firstLine="0"/>
            </w:pPr>
            <w:r w:rsidRPr="00602A42">
              <w:t xml:space="preserve">Loans for living costs are intended to help students afford expenses incurred during their studies. Including but not limited to, utilities, rental costs, food and travel.  </w:t>
            </w:r>
          </w:p>
        </w:tc>
      </w:tr>
      <w:tr w:rsidR="007229C2" w:rsidRPr="00602A42" w14:paraId="2A21489D" w14:textId="77777777" w:rsidTr="009D30DA">
        <w:trPr>
          <w:trHeight w:val="656"/>
        </w:trPr>
        <w:tc>
          <w:tcPr>
            <w:tcW w:w="2799" w:type="dxa"/>
            <w:tcBorders>
              <w:top w:val="single" w:sz="4" w:space="0" w:color="000000"/>
              <w:left w:val="single" w:sz="4" w:space="0" w:color="000000"/>
              <w:bottom w:val="single" w:sz="4" w:space="0" w:color="000000"/>
              <w:right w:val="single" w:sz="4" w:space="0" w:color="000000"/>
            </w:tcBorders>
          </w:tcPr>
          <w:p w14:paraId="0AFAEB8C" w14:textId="77777777" w:rsidR="007229C2" w:rsidRPr="00602A42" w:rsidRDefault="007229C2" w:rsidP="009D30DA">
            <w:pPr>
              <w:spacing w:after="0" w:line="259" w:lineRule="auto"/>
              <w:ind w:left="0" w:firstLine="0"/>
            </w:pPr>
            <w:r w:rsidRPr="00602A42">
              <w:t xml:space="preserve">Negative attendance code </w:t>
            </w:r>
          </w:p>
        </w:tc>
        <w:tc>
          <w:tcPr>
            <w:tcW w:w="7547" w:type="dxa"/>
            <w:tcBorders>
              <w:top w:val="single" w:sz="4" w:space="0" w:color="000000"/>
              <w:left w:val="single" w:sz="4" w:space="0" w:color="000000"/>
              <w:bottom w:val="single" w:sz="4" w:space="0" w:color="000000"/>
              <w:right w:val="single" w:sz="4" w:space="0" w:color="000000"/>
            </w:tcBorders>
          </w:tcPr>
          <w:p w14:paraId="572B1068" w14:textId="527F6120" w:rsidR="007229C2" w:rsidRPr="00602A42" w:rsidRDefault="007229C2" w:rsidP="009D30DA">
            <w:pPr>
              <w:spacing w:after="0" w:line="259" w:lineRule="auto"/>
              <w:ind w:left="113" w:firstLine="0"/>
            </w:pPr>
            <w:r w:rsidRPr="00602A42">
              <w:t>An attendance code that does not release a fee to a</w:t>
            </w:r>
            <w:r w:rsidR="00A92289" w:rsidRPr="00602A42">
              <w:t>n</w:t>
            </w:r>
            <w:r w:rsidRPr="00602A42">
              <w:t xml:space="preserve"> HEP but signifies the need to submit a Change of Circumstance</w:t>
            </w:r>
            <w:r w:rsidR="00A92289" w:rsidRPr="00602A42">
              <w:t>.</w:t>
            </w:r>
            <w:r w:rsidRPr="00602A42">
              <w:t xml:space="preserve"> </w:t>
            </w:r>
          </w:p>
        </w:tc>
      </w:tr>
      <w:tr w:rsidR="007229C2" w:rsidRPr="00602A42" w14:paraId="125A4A0A" w14:textId="77777777" w:rsidTr="00165C11">
        <w:trPr>
          <w:trHeight w:val="420"/>
        </w:trPr>
        <w:tc>
          <w:tcPr>
            <w:tcW w:w="2799" w:type="dxa"/>
            <w:tcBorders>
              <w:top w:val="single" w:sz="4" w:space="0" w:color="000000"/>
              <w:left w:val="single" w:sz="4" w:space="0" w:color="000000"/>
              <w:bottom w:val="single" w:sz="4" w:space="0" w:color="000000"/>
              <w:right w:val="single" w:sz="4" w:space="0" w:color="000000"/>
            </w:tcBorders>
            <w:vAlign w:val="center"/>
          </w:tcPr>
          <w:p w14:paraId="59EB78EA" w14:textId="77777777" w:rsidR="007229C2" w:rsidRPr="00602A42" w:rsidRDefault="007229C2" w:rsidP="00165C11">
            <w:pPr>
              <w:spacing w:after="0" w:line="259" w:lineRule="auto"/>
              <w:ind w:left="0" w:firstLine="0"/>
            </w:pPr>
            <w:r w:rsidRPr="00602A42">
              <w:t xml:space="preserve">NINO </w:t>
            </w:r>
          </w:p>
        </w:tc>
        <w:tc>
          <w:tcPr>
            <w:tcW w:w="7547" w:type="dxa"/>
            <w:tcBorders>
              <w:top w:val="single" w:sz="4" w:space="0" w:color="000000"/>
              <w:left w:val="single" w:sz="4" w:space="0" w:color="000000"/>
              <w:bottom w:val="single" w:sz="4" w:space="0" w:color="000000"/>
              <w:right w:val="single" w:sz="4" w:space="0" w:color="000000"/>
            </w:tcBorders>
            <w:vAlign w:val="center"/>
          </w:tcPr>
          <w:p w14:paraId="398A8698" w14:textId="77777777" w:rsidR="007229C2" w:rsidRPr="00602A42" w:rsidRDefault="007229C2" w:rsidP="00165C11">
            <w:pPr>
              <w:spacing w:after="0" w:line="259" w:lineRule="auto"/>
              <w:ind w:left="113" w:firstLine="0"/>
            </w:pPr>
            <w:r w:rsidRPr="00602A42">
              <w:t xml:space="preserve">National Insurance number </w:t>
            </w:r>
          </w:p>
        </w:tc>
      </w:tr>
      <w:tr w:rsidR="000A4AE5" w:rsidRPr="00602A42" w14:paraId="0DFAA649" w14:textId="77777777" w:rsidTr="00165C11">
        <w:trPr>
          <w:trHeight w:val="420"/>
        </w:trPr>
        <w:tc>
          <w:tcPr>
            <w:tcW w:w="2799" w:type="dxa"/>
            <w:tcBorders>
              <w:top w:val="single" w:sz="4" w:space="0" w:color="000000"/>
              <w:left w:val="single" w:sz="4" w:space="0" w:color="000000"/>
              <w:bottom w:val="single" w:sz="4" w:space="0" w:color="000000"/>
              <w:right w:val="single" w:sz="4" w:space="0" w:color="000000"/>
            </w:tcBorders>
            <w:vAlign w:val="center"/>
          </w:tcPr>
          <w:p w14:paraId="47EF37F9" w14:textId="0C87E9CB" w:rsidR="000A4AE5" w:rsidRPr="00602A42" w:rsidRDefault="000A4AE5" w:rsidP="00165C11">
            <w:pPr>
              <w:spacing w:after="0" w:line="259" w:lineRule="auto"/>
              <w:ind w:left="0" w:firstLine="0"/>
            </w:pPr>
            <w:r w:rsidRPr="00602A42">
              <w:t>PoE</w:t>
            </w:r>
          </w:p>
        </w:tc>
        <w:tc>
          <w:tcPr>
            <w:tcW w:w="7547" w:type="dxa"/>
            <w:tcBorders>
              <w:top w:val="single" w:sz="4" w:space="0" w:color="000000"/>
              <w:left w:val="single" w:sz="4" w:space="0" w:color="000000"/>
              <w:bottom w:val="single" w:sz="4" w:space="0" w:color="000000"/>
              <w:right w:val="single" w:sz="4" w:space="0" w:color="000000"/>
            </w:tcBorders>
            <w:vAlign w:val="center"/>
          </w:tcPr>
          <w:p w14:paraId="3F43254C" w14:textId="22A1EA07" w:rsidR="000A4AE5" w:rsidRPr="00602A42" w:rsidRDefault="000A4AE5" w:rsidP="00165C11">
            <w:pPr>
              <w:spacing w:after="0" w:line="259" w:lineRule="auto"/>
              <w:ind w:left="113" w:firstLine="0"/>
            </w:pPr>
            <w:r w:rsidRPr="00602A42">
              <w:t>Period of Eligibility</w:t>
            </w:r>
          </w:p>
        </w:tc>
      </w:tr>
      <w:tr w:rsidR="007229C2" w:rsidRPr="00602A42" w14:paraId="68865326" w14:textId="77777777" w:rsidTr="00B108D1">
        <w:trPr>
          <w:trHeight w:val="655"/>
        </w:trPr>
        <w:tc>
          <w:tcPr>
            <w:tcW w:w="2799" w:type="dxa"/>
            <w:tcBorders>
              <w:top w:val="single" w:sz="4" w:space="0" w:color="000000"/>
              <w:left w:val="single" w:sz="4" w:space="0" w:color="000000"/>
              <w:bottom w:val="single" w:sz="4" w:space="0" w:color="000000"/>
              <w:right w:val="single" w:sz="4" w:space="0" w:color="000000"/>
            </w:tcBorders>
          </w:tcPr>
          <w:p w14:paraId="032408CB" w14:textId="77777777" w:rsidR="007229C2" w:rsidRPr="00602A42" w:rsidRDefault="007229C2" w:rsidP="00B108D1">
            <w:pPr>
              <w:spacing w:after="0" w:line="259" w:lineRule="auto"/>
              <w:ind w:left="0" w:firstLine="0"/>
            </w:pPr>
            <w:r w:rsidRPr="00602A42">
              <w:t xml:space="preserve">Positive attendance code </w:t>
            </w:r>
          </w:p>
        </w:tc>
        <w:tc>
          <w:tcPr>
            <w:tcW w:w="7547" w:type="dxa"/>
            <w:tcBorders>
              <w:top w:val="single" w:sz="4" w:space="0" w:color="000000"/>
              <w:left w:val="single" w:sz="4" w:space="0" w:color="000000"/>
              <w:bottom w:val="single" w:sz="4" w:space="0" w:color="000000"/>
              <w:right w:val="single" w:sz="4" w:space="0" w:color="000000"/>
            </w:tcBorders>
          </w:tcPr>
          <w:p w14:paraId="18720068" w14:textId="77777777" w:rsidR="007229C2" w:rsidRPr="00602A42" w:rsidRDefault="007229C2" w:rsidP="00B108D1">
            <w:pPr>
              <w:spacing w:after="0" w:line="259" w:lineRule="auto"/>
              <w:ind w:left="113" w:firstLine="0"/>
            </w:pPr>
            <w:r w:rsidRPr="00602A42">
              <w:t xml:space="preserve">An attendance code that releases a fee to the HEP; attendance codes A and L </w:t>
            </w:r>
          </w:p>
        </w:tc>
      </w:tr>
      <w:tr w:rsidR="007229C2" w:rsidRPr="00602A42" w14:paraId="35389117"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0430C096" w14:textId="77777777" w:rsidR="007229C2" w:rsidRPr="00602A42" w:rsidRDefault="007229C2" w:rsidP="00165C11">
            <w:pPr>
              <w:spacing w:after="0" w:line="259" w:lineRule="auto"/>
              <w:ind w:left="0" w:firstLine="0"/>
            </w:pPr>
            <w:r w:rsidRPr="00602A42">
              <w:t xml:space="preserve">PT </w:t>
            </w:r>
          </w:p>
        </w:tc>
        <w:tc>
          <w:tcPr>
            <w:tcW w:w="7547" w:type="dxa"/>
            <w:tcBorders>
              <w:top w:val="single" w:sz="4" w:space="0" w:color="000000"/>
              <w:left w:val="single" w:sz="4" w:space="0" w:color="000000"/>
              <w:bottom w:val="single" w:sz="4" w:space="0" w:color="000000"/>
              <w:right w:val="single" w:sz="4" w:space="0" w:color="000000"/>
            </w:tcBorders>
            <w:vAlign w:val="center"/>
          </w:tcPr>
          <w:p w14:paraId="5D58DD8F" w14:textId="77777777" w:rsidR="007229C2" w:rsidRPr="00602A42" w:rsidRDefault="007229C2" w:rsidP="00165C11">
            <w:pPr>
              <w:spacing w:after="0" w:line="259" w:lineRule="auto"/>
              <w:ind w:left="113" w:firstLine="0"/>
            </w:pPr>
            <w:r w:rsidRPr="00602A42">
              <w:t xml:space="preserve">Part-time </w:t>
            </w:r>
          </w:p>
        </w:tc>
      </w:tr>
      <w:tr w:rsidR="00176BBC" w:rsidRPr="007229C2" w14:paraId="1418BCA9" w14:textId="77777777" w:rsidTr="00165C11">
        <w:trPr>
          <w:trHeight w:val="423"/>
        </w:trPr>
        <w:tc>
          <w:tcPr>
            <w:tcW w:w="2799" w:type="dxa"/>
            <w:tcBorders>
              <w:top w:val="single" w:sz="4" w:space="0" w:color="000000"/>
              <w:left w:val="single" w:sz="4" w:space="0" w:color="000000"/>
              <w:bottom w:val="single" w:sz="4" w:space="0" w:color="000000"/>
              <w:right w:val="single" w:sz="4" w:space="0" w:color="000000"/>
            </w:tcBorders>
            <w:vAlign w:val="center"/>
          </w:tcPr>
          <w:p w14:paraId="23FA07D1" w14:textId="2E1F7A84" w:rsidR="00176BBC" w:rsidRPr="00602A42" w:rsidRDefault="00176BBC" w:rsidP="00165C11">
            <w:pPr>
              <w:spacing w:after="0" w:line="259" w:lineRule="auto"/>
              <w:ind w:left="0" w:firstLine="0"/>
            </w:pPr>
            <w:r w:rsidRPr="00602A42">
              <w:lastRenderedPageBreak/>
              <w:t>SCITT</w:t>
            </w:r>
          </w:p>
        </w:tc>
        <w:tc>
          <w:tcPr>
            <w:tcW w:w="7547" w:type="dxa"/>
            <w:tcBorders>
              <w:top w:val="single" w:sz="4" w:space="0" w:color="000000"/>
              <w:left w:val="single" w:sz="4" w:space="0" w:color="000000"/>
              <w:bottom w:val="single" w:sz="4" w:space="0" w:color="000000"/>
              <w:right w:val="single" w:sz="4" w:space="0" w:color="000000"/>
            </w:tcBorders>
            <w:vAlign w:val="center"/>
          </w:tcPr>
          <w:p w14:paraId="4A0A9C3D" w14:textId="708DD74C" w:rsidR="00176BBC" w:rsidRPr="00602A42" w:rsidRDefault="00176BBC" w:rsidP="00165C11">
            <w:pPr>
              <w:spacing w:after="0" w:line="259" w:lineRule="auto"/>
              <w:ind w:left="113" w:firstLine="0"/>
            </w:pPr>
            <w:r w:rsidRPr="00602A42">
              <w:t>School Centred Initial Teacher Training</w:t>
            </w:r>
            <w:r w:rsidR="000E2823" w:rsidRPr="00602A42">
              <w:t xml:space="preserve"> provider</w:t>
            </w:r>
          </w:p>
        </w:tc>
      </w:tr>
      <w:tr w:rsidR="007229C2" w:rsidRPr="007229C2" w14:paraId="76A808C7"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63DB0F0D" w14:textId="77777777" w:rsidR="007229C2" w:rsidRPr="00602A42" w:rsidRDefault="007229C2" w:rsidP="00165C11">
            <w:pPr>
              <w:spacing w:after="0" w:line="259" w:lineRule="auto"/>
              <w:ind w:left="0" w:firstLine="0"/>
            </w:pPr>
            <w:r w:rsidRPr="00602A42">
              <w:t xml:space="preserve">SIS </w:t>
            </w:r>
          </w:p>
        </w:tc>
        <w:tc>
          <w:tcPr>
            <w:tcW w:w="7547" w:type="dxa"/>
            <w:tcBorders>
              <w:top w:val="single" w:sz="4" w:space="0" w:color="000000"/>
              <w:left w:val="single" w:sz="4" w:space="0" w:color="000000"/>
              <w:bottom w:val="single" w:sz="4" w:space="0" w:color="000000"/>
              <w:right w:val="single" w:sz="4" w:space="0" w:color="000000"/>
            </w:tcBorders>
            <w:vAlign w:val="center"/>
          </w:tcPr>
          <w:p w14:paraId="65DD5238" w14:textId="67F1FBFE" w:rsidR="007229C2" w:rsidRPr="00602A42" w:rsidRDefault="007229C2" w:rsidP="00165C11">
            <w:pPr>
              <w:spacing w:after="0" w:line="259" w:lineRule="auto"/>
              <w:ind w:left="113" w:firstLine="0"/>
            </w:pPr>
            <w:r w:rsidRPr="00602A42">
              <w:t>Student Information Service</w:t>
            </w:r>
            <w:r w:rsidR="00DD5698" w:rsidRPr="00602A42">
              <w:t xml:space="preserve"> - LLE</w:t>
            </w:r>
            <w:r w:rsidRPr="00602A42">
              <w:t xml:space="preserve"> </w:t>
            </w:r>
          </w:p>
        </w:tc>
      </w:tr>
      <w:tr w:rsidR="007229C2" w:rsidRPr="007229C2" w14:paraId="7AFF5DE1"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2765C3B7" w14:textId="77777777" w:rsidR="007229C2" w:rsidRPr="00602A42" w:rsidRDefault="007229C2" w:rsidP="00165C11">
            <w:pPr>
              <w:spacing w:after="0" w:line="259" w:lineRule="auto"/>
              <w:ind w:left="0" w:firstLine="0"/>
            </w:pPr>
            <w:r w:rsidRPr="00602A42">
              <w:t xml:space="preserve">SLC </w:t>
            </w:r>
          </w:p>
        </w:tc>
        <w:tc>
          <w:tcPr>
            <w:tcW w:w="7547" w:type="dxa"/>
            <w:tcBorders>
              <w:top w:val="single" w:sz="4" w:space="0" w:color="000000"/>
              <w:left w:val="single" w:sz="4" w:space="0" w:color="000000"/>
              <w:bottom w:val="single" w:sz="4" w:space="0" w:color="000000"/>
              <w:right w:val="single" w:sz="4" w:space="0" w:color="000000"/>
            </w:tcBorders>
            <w:vAlign w:val="center"/>
          </w:tcPr>
          <w:p w14:paraId="0611FC0E" w14:textId="77777777" w:rsidR="007229C2" w:rsidRPr="00602A42" w:rsidRDefault="007229C2" w:rsidP="00165C11">
            <w:pPr>
              <w:spacing w:after="0" w:line="259" w:lineRule="auto"/>
              <w:ind w:left="113" w:firstLine="0"/>
            </w:pPr>
            <w:r w:rsidRPr="00602A42">
              <w:t xml:space="preserve">Student Loans Company </w:t>
            </w:r>
          </w:p>
        </w:tc>
      </w:tr>
      <w:tr w:rsidR="007229C2" w:rsidRPr="007229C2" w14:paraId="633794AE"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31C174CE" w14:textId="77777777" w:rsidR="007229C2" w:rsidRPr="00602A42" w:rsidRDefault="007229C2" w:rsidP="00165C11">
            <w:pPr>
              <w:spacing w:after="0" w:line="259" w:lineRule="auto"/>
              <w:ind w:left="0" w:firstLine="0"/>
            </w:pPr>
            <w:r w:rsidRPr="00602A42">
              <w:t xml:space="preserve">SSN </w:t>
            </w:r>
          </w:p>
        </w:tc>
        <w:tc>
          <w:tcPr>
            <w:tcW w:w="7547" w:type="dxa"/>
            <w:tcBorders>
              <w:top w:val="single" w:sz="4" w:space="0" w:color="000000"/>
              <w:left w:val="single" w:sz="4" w:space="0" w:color="000000"/>
              <w:bottom w:val="single" w:sz="4" w:space="0" w:color="000000"/>
              <w:right w:val="single" w:sz="4" w:space="0" w:color="000000"/>
            </w:tcBorders>
            <w:vAlign w:val="center"/>
          </w:tcPr>
          <w:p w14:paraId="65AAC43F" w14:textId="77777777" w:rsidR="007229C2" w:rsidRPr="00602A42" w:rsidRDefault="007229C2" w:rsidP="00165C11">
            <w:pPr>
              <w:spacing w:after="0" w:line="259" w:lineRule="auto"/>
              <w:ind w:left="113" w:firstLine="0"/>
            </w:pPr>
            <w:r w:rsidRPr="00602A42">
              <w:t xml:space="preserve">Student Support Number </w:t>
            </w:r>
          </w:p>
        </w:tc>
      </w:tr>
      <w:tr w:rsidR="007229C2" w:rsidRPr="007229C2" w14:paraId="12E9D0A6"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664FB159" w14:textId="77777777" w:rsidR="007229C2" w:rsidRPr="00602A42" w:rsidRDefault="007229C2" w:rsidP="00165C11">
            <w:pPr>
              <w:spacing w:after="0" w:line="259" w:lineRule="auto"/>
              <w:ind w:left="0" w:firstLine="0"/>
            </w:pPr>
            <w:r w:rsidRPr="00602A42">
              <w:t xml:space="preserve">UCAS </w:t>
            </w:r>
          </w:p>
        </w:tc>
        <w:tc>
          <w:tcPr>
            <w:tcW w:w="7547" w:type="dxa"/>
            <w:tcBorders>
              <w:top w:val="single" w:sz="4" w:space="0" w:color="000000"/>
              <w:left w:val="single" w:sz="4" w:space="0" w:color="000000"/>
              <w:bottom w:val="single" w:sz="4" w:space="0" w:color="000000"/>
              <w:right w:val="single" w:sz="4" w:space="0" w:color="000000"/>
            </w:tcBorders>
            <w:vAlign w:val="center"/>
          </w:tcPr>
          <w:p w14:paraId="1A5390E1" w14:textId="77777777" w:rsidR="007229C2" w:rsidRPr="00602A42" w:rsidRDefault="007229C2" w:rsidP="00165C11">
            <w:pPr>
              <w:spacing w:after="0" w:line="259" w:lineRule="auto"/>
              <w:ind w:left="113" w:firstLine="0"/>
            </w:pPr>
            <w:r w:rsidRPr="00602A42">
              <w:t xml:space="preserve">Universities and Colleges Admission Service </w:t>
            </w:r>
          </w:p>
        </w:tc>
      </w:tr>
      <w:tr w:rsidR="007229C2" w:rsidRPr="007229C2" w14:paraId="609775AA" w14:textId="77777777" w:rsidTr="00165C11">
        <w:trPr>
          <w:trHeight w:val="422"/>
        </w:trPr>
        <w:tc>
          <w:tcPr>
            <w:tcW w:w="2799" w:type="dxa"/>
            <w:tcBorders>
              <w:top w:val="single" w:sz="4" w:space="0" w:color="000000"/>
              <w:left w:val="single" w:sz="4" w:space="0" w:color="000000"/>
              <w:bottom w:val="single" w:sz="4" w:space="0" w:color="000000"/>
              <w:right w:val="single" w:sz="4" w:space="0" w:color="000000"/>
            </w:tcBorders>
            <w:vAlign w:val="center"/>
          </w:tcPr>
          <w:p w14:paraId="2EF619AB" w14:textId="77777777" w:rsidR="007229C2" w:rsidRPr="00602A42" w:rsidRDefault="007229C2" w:rsidP="00165C11">
            <w:pPr>
              <w:spacing w:after="0" w:line="259" w:lineRule="auto"/>
              <w:ind w:left="0" w:firstLine="0"/>
            </w:pPr>
            <w:r w:rsidRPr="00602A42">
              <w:t xml:space="preserve">UG </w:t>
            </w:r>
          </w:p>
        </w:tc>
        <w:tc>
          <w:tcPr>
            <w:tcW w:w="7547" w:type="dxa"/>
            <w:tcBorders>
              <w:top w:val="single" w:sz="4" w:space="0" w:color="000000"/>
              <w:left w:val="single" w:sz="4" w:space="0" w:color="000000"/>
              <w:bottom w:val="single" w:sz="4" w:space="0" w:color="000000"/>
              <w:right w:val="single" w:sz="4" w:space="0" w:color="000000"/>
            </w:tcBorders>
            <w:vAlign w:val="center"/>
          </w:tcPr>
          <w:p w14:paraId="324372CA" w14:textId="77777777" w:rsidR="007229C2" w:rsidRPr="00602A42" w:rsidRDefault="007229C2" w:rsidP="00165C11">
            <w:pPr>
              <w:spacing w:after="0" w:line="259" w:lineRule="auto"/>
              <w:ind w:left="113" w:firstLine="0"/>
            </w:pPr>
            <w:r w:rsidRPr="00602A42">
              <w:t xml:space="preserve">Undergraduate </w:t>
            </w:r>
          </w:p>
        </w:tc>
      </w:tr>
      <w:tr w:rsidR="007229C2" w:rsidRPr="007229C2" w14:paraId="0584ACCC" w14:textId="77777777" w:rsidTr="00165C11">
        <w:trPr>
          <w:trHeight w:val="425"/>
        </w:trPr>
        <w:tc>
          <w:tcPr>
            <w:tcW w:w="2799" w:type="dxa"/>
            <w:tcBorders>
              <w:top w:val="single" w:sz="4" w:space="0" w:color="000000"/>
              <w:left w:val="single" w:sz="4" w:space="0" w:color="000000"/>
              <w:bottom w:val="single" w:sz="4" w:space="0" w:color="000000"/>
              <w:right w:val="single" w:sz="4" w:space="0" w:color="000000"/>
            </w:tcBorders>
            <w:vAlign w:val="center"/>
          </w:tcPr>
          <w:p w14:paraId="2D89E322" w14:textId="77777777" w:rsidR="007229C2" w:rsidRPr="00602A42" w:rsidRDefault="007229C2" w:rsidP="00165C11">
            <w:pPr>
              <w:spacing w:after="0" w:line="259" w:lineRule="auto"/>
              <w:ind w:left="0" w:firstLine="0"/>
            </w:pPr>
            <w:r w:rsidRPr="00602A42">
              <w:t xml:space="preserve">UK DPA 2018 </w:t>
            </w:r>
          </w:p>
        </w:tc>
        <w:tc>
          <w:tcPr>
            <w:tcW w:w="7547" w:type="dxa"/>
            <w:tcBorders>
              <w:top w:val="single" w:sz="4" w:space="0" w:color="000000"/>
              <w:left w:val="single" w:sz="4" w:space="0" w:color="000000"/>
              <w:bottom w:val="single" w:sz="4" w:space="0" w:color="000000"/>
              <w:right w:val="single" w:sz="4" w:space="0" w:color="000000"/>
            </w:tcBorders>
            <w:vAlign w:val="center"/>
          </w:tcPr>
          <w:p w14:paraId="1DDB6A2B" w14:textId="77777777" w:rsidR="007229C2" w:rsidRPr="00602A42" w:rsidRDefault="007229C2" w:rsidP="00165C11">
            <w:pPr>
              <w:spacing w:after="0" w:line="259" w:lineRule="auto"/>
              <w:ind w:left="113" w:firstLine="0"/>
            </w:pPr>
            <w:r w:rsidRPr="00602A42">
              <w:t xml:space="preserve">UK Data Protection Act 2018 </w:t>
            </w:r>
          </w:p>
        </w:tc>
      </w:tr>
    </w:tbl>
    <w:p w14:paraId="4DE5B1ED" w14:textId="77777777" w:rsidR="007229C2" w:rsidRPr="00602A42" w:rsidRDefault="007229C2" w:rsidP="007229C2">
      <w:pPr>
        <w:pStyle w:val="Heading1"/>
        <w:ind w:left="-5"/>
        <w:rPr>
          <w:rFonts w:ascii="Calibri" w:hAnsi="Calibri" w:cs="Calibri"/>
        </w:rPr>
      </w:pPr>
      <w:bookmarkStart w:id="2" w:name="_Toc225775735"/>
      <w:r w:rsidRPr="00602A42">
        <w:rPr>
          <w:rFonts w:ascii="Calibri" w:hAnsi="Calibri" w:cs="Calibri"/>
        </w:rPr>
        <w:t>Service overview</w:t>
      </w:r>
      <w:bookmarkEnd w:id="2"/>
      <w:r w:rsidRPr="00602A42">
        <w:rPr>
          <w:rFonts w:ascii="Calibri" w:hAnsi="Calibri" w:cs="Calibri"/>
        </w:rPr>
        <w:t xml:space="preserve"> </w:t>
      </w:r>
    </w:p>
    <w:p w14:paraId="7FE7A431" w14:textId="77777777" w:rsidR="007229C2" w:rsidRPr="00602A42" w:rsidRDefault="007229C2" w:rsidP="007229C2">
      <w:pPr>
        <w:spacing w:after="0" w:line="259" w:lineRule="auto"/>
        <w:ind w:left="0" w:firstLine="0"/>
      </w:pPr>
      <w:r w:rsidRPr="00602A42">
        <w:t xml:space="preserve"> </w:t>
      </w:r>
    </w:p>
    <w:p w14:paraId="76042CE7" w14:textId="2FF127B8" w:rsidR="005421CB" w:rsidRPr="00602A42" w:rsidRDefault="007229C2" w:rsidP="002F2533">
      <w:pPr>
        <w:spacing w:line="247" w:lineRule="auto"/>
        <w:ind w:left="-6" w:hanging="11"/>
        <w:jc w:val="both"/>
      </w:pPr>
      <w:r w:rsidRPr="00602A42">
        <w:t xml:space="preserve">The </w:t>
      </w:r>
      <w:r w:rsidR="00B3472C" w:rsidRPr="00602A42">
        <w:t xml:space="preserve">LLE section </w:t>
      </w:r>
      <w:r w:rsidR="005D476E" w:rsidRPr="00602A42">
        <w:t xml:space="preserve">of the </w:t>
      </w:r>
      <w:r w:rsidRPr="00602A42">
        <w:t>Student Information Service (</w:t>
      </w:r>
      <w:r w:rsidR="005D476E" w:rsidRPr="00602A42">
        <w:t xml:space="preserve">LLE </w:t>
      </w:r>
      <w:r w:rsidRPr="00602A42">
        <w:t xml:space="preserve">SIS) provides </w:t>
      </w:r>
      <w:r w:rsidR="00DC5ED5" w:rsidRPr="00602A42">
        <w:t>HEPs</w:t>
      </w:r>
      <w:r w:rsidRPr="00602A42">
        <w:t xml:space="preserve"> with a wide range of student data once a student’s application for funding has been approved. This allows you early sight of approved applications for the coming </w:t>
      </w:r>
      <w:r w:rsidR="00126588" w:rsidRPr="00602A42">
        <w:t xml:space="preserve">course </w:t>
      </w:r>
      <w:r w:rsidRPr="00602A42">
        <w:t xml:space="preserve">year. Early sight of applications gives you the ability to submit </w:t>
      </w:r>
      <w:r w:rsidR="00126588" w:rsidRPr="00602A42">
        <w:t>CoC</w:t>
      </w:r>
      <w:r w:rsidRPr="00602A42">
        <w:t xml:space="preserve"> notifications before the </w:t>
      </w:r>
      <w:r w:rsidR="00126588" w:rsidRPr="00602A42">
        <w:t xml:space="preserve">course </w:t>
      </w:r>
      <w:r w:rsidRPr="00602A42">
        <w:t>year start</w:t>
      </w:r>
      <w:r w:rsidR="00C07709" w:rsidRPr="00602A42">
        <w:t>s</w:t>
      </w:r>
      <w:r w:rsidRPr="00602A42">
        <w:t xml:space="preserve">. It also lets you </w:t>
      </w:r>
      <w:r w:rsidR="00A02F0D" w:rsidRPr="00602A42">
        <w:t>prepare</w:t>
      </w:r>
      <w:r w:rsidR="00175030" w:rsidRPr="00602A42">
        <w:t xml:space="preserve"> for confirming </w:t>
      </w:r>
      <w:r w:rsidRPr="00602A42">
        <w:t>registration and attendance (as appropriate to the product for each student when required).</w:t>
      </w:r>
      <w:r w:rsidR="00741249" w:rsidRPr="00602A42">
        <w:t xml:space="preserve"> </w:t>
      </w:r>
      <w:r w:rsidR="005D476E" w:rsidRPr="00602A42">
        <w:t xml:space="preserve">LLE SIS will </w:t>
      </w:r>
      <w:r w:rsidR="00123918" w:rsidRPr="00602A42">
        <w:t xml:space="preserve">provide access to </w:t>
      </w:r>
      <w:r w:rsidR="00F94AA9" w:rsidRPr="00602A42">
        <w:t xml:space="preserve">student applications for </w:t>
      </w:r>
      <w:r w:rsidR="002F20D9" w:rsidRPr="00602A42">
        <w:t>all full time</w:t>
      </w:r>
      <w:r w:rsidR="00377216" w:rsidRPr="00602A42">
        <w:t xml:space="preserve">, </w:t>
      </w:r>
      <w:r w:rsidR="002F20D9" w:rsidRPr="00602A42">
        <w:t>part time</w:t>
      </w:r>
      <w:r w:rsidR="00377216" w:rsidRPr="00602A42">
        <w:t xml:space="preserve"> and accelerated</w:t>
      </w:r>
      <w:r w:rsidR="002F20D9" w:rsidRPr="00602A42">
        <w:t xml:space="preserve"> undergraduate English and EU domiciled students </w:t>
      </w:r>
      <w:r w:rsidR="00265995" w:rsidRPr="00602A42">
        <w:t>who are studying on courses that start from 1 January 2027.</w:t>
      </w:r>
      <w:r w:rsidR="00F94AA9" w:rsidRPr="00602A42">
        <w:t xml:space="preserve"> The</w:t>
      </w:r>
      <w:r w:rsidR="00AD427B" w:rsidRPr="00602A42">
        <w:t xml:space="preserve">re will be changes to the </w:t>
      </w:r>
      <w:r w:rsidR="00C07F8E" w:rsidRPr="00602A42">
        <w:t xml:space="preserve">number of registration and attendance </w:t>
      </w:r>
      <w:r w:rsidR="008C62E9" w:rsidRPr="00602A42">
        <w:t>confirmations</w:t>
      </w:r>
      <w:r w:rsidR="00C07F8E" w:rsidRPr="00602A42">
        <w:t xml:space="preserve"> required </w:t>
      </w:r>
      <w:r w:rsidR="007B7072" w:rsidRPr="00602A42">
        <w:t xml:space="preserve">depending on the student’s </w:t>
      </w:r>
      <w:r w:rsidR="002F77C3" w:rsidRPr="00602A42">
        <w:t xml:space="preserve">study choices. Additionally, there will be a </w:t>
      </w:r>
      <w:r w:rsidR="00494637" w:rsidRPr="00602A42">
        <w:t>requirement to provide credit</w:t>
      </w:r>
      <w:r w:rsidR="008D4E44" w:rsidRPr="00602A42">
        <w:t>s</w:t>
      </w:r>
      <w:r w:rsidR="00494637" w:rsidRPr="00602A42">
        <w:t xml:space="preserve"> and credit values within the change of </w:t>
      </w:r>
      <w:r w:rsidR="008C62E9" w:rsidRPr="00602A42">
        <w:t>circumstance</w:t>
      </w:r>
      <w:r w:rsidR="00E97D52" w:rsidRPr="00602A42">
        <w:t xml:space="preserve"> notifications. As such, the </w:t>
      </w:r>
      <w:r w:rsidR="00AD427B" w:rsidRPr="00602A42">
        <w:t xml:space="preserve">bulk upload processes for registration and attendance </w:t>
      </w:r>
      <w:r w:rsidR="003114C5" w:rsidRPr="00602A42">
        <w:t>confirmations and</w:t>
      </w:r>
      <w:r w:rsidR="00AD427B" w:rsidRPr="00602A42">
        <w:t xml:space="preserve"> change of circumstance notifications</w:t>
      </w:r>
      <w:r w:rsidR="008C62E9" w:rsidRPr="00602A42">
        <w:t xml:space="preserve"> has changed and differs from the existing SIS processes</w:t>
      </w:r>
      <w:r w:rsidR="00FC1697" w:rsidRPr="00602A42">
        <w:t>. T</w:t>
      </w:r>
      <w:r w:rsidR="00454CC9" w:rsidRPr="00602A42">
        <w:t xml:space="preserve">he technical specifications that support these processes will be </w:t>
      </w:r>
      <w:r w:rsidR="00FC1697" w:rsidRPr="00602A42">
        <w:t>available on the HE Gateway</w:t>
      </w:r>
      <w:r w:rsidR="006D64B5" w:rsidRPr="00602A42">
        <w:t xml:space="preserve"> as we</w:t>
      </w:r>
      <w:r w:rsidR="0081036C" w:rsidRPr="00602A42">
        <w:t>ll</w:t>
      </w:r>
      <w:r w:rsidR="006D64B5" w:rsidRPr="00602A42">
        <w:t xml:space="preserve"> </w:t>
      </w:r>
      <w:r w:rsidR="0081036C" w:rsidRPr="00602A42">
        <w:t>a</w:t>
      </w:r>
      <w:r w:rsidR="006D64B5" w:rsidRPr="00602A42">
        <w:t xml:space="preserve">s detailed </w:t>
      </w:r>
      <w:r w:rsidR="0081036C" w:rsidRPr="00602A42">
        <w:t>functional guidance on the HEP Services website.</w:t>
      </w:r>
    </w:p>
    <w:p w14:paraId="2280F25C" w14:textId="77777777" w:rsidR="00FC1697" w:rsidRPr="00602A42" w:rsidRDefault="00FC1697" w:rsidP="00052298">
      <w:pPr>
        <w:ind w:left="-5"/>
        <w:jc w:val="both"/>
      </w:pPr>
    </w:p>
    <w:p w14:paraId="23190409" w14:textId="518D8CD1" w:rsidR="00FC1697" w:rsidRPr="00602A42" w:rsidRDefault="00377DE0" w:rsidP="00860209">
      <w:pPr>
        <w:spacing w:line="247" w:lineRule="auto"/>
        <w:ind w:left="-6" w:hanging="11"/>
        <w:jc w:val="both"/>
      </w:pPr>
      <w:r w:rsidRPr="00602A42">
        <w:t>For all other students</w:t>
      </w:r>
      <w:r w:rsidR="0081036C" w:rsidRPr="00602A42">
        <w:t>,</w:t>
      </w:r>
      <w:r w:rsidRPr="00602A42">
        <w:t xml:space="preserve"> </w:t>
      </w:r>
      <w:r w:rsidR="00A710BC" w:rsidRPr="00602A42">
        <w:t xml:space="preserve">the existing processes remain as they are </w:t>
      </w:r>
      <w:r w:rsidR="00AA2291" w:rsidRPr="00602A42">
        <w:t xml:space="preserve">and </w:t>
      </w:r>
      <w:r w:rsidRPr="00602A42">
        <w:t xml:space="preserve">the </w:t>
      </w:r>
      <w:r w:rsidR="00DF3C13" w:rsidRPr="00602A42">
        <w:t>student</w:t>
      </w:r>
      <w:r w:rsidRPr="00602A42">
        <w:t xml:space="preserve"> applications will be available </w:t>
      </w:r>
      <w:r w:rsidR="00DF3C13" w:rsidRPr="00602A42">
        <w:t>on SIS</w:t>
      </w:r>
      <w:r w:rsidR="00AA2291" w:rsidRPr="00602A42">
        <w:t>. There is no change to the b</w:t>
      </w:r>
      <w:r w:rsidR="00DF3C13" w:rsidRPr="00602A42">
        <w:t xml:space="preserve">ulk upload </w:t>
      </w:r>
      <w:r w:rsidR="00005920" w:rsidRPr="00602A42">
        <w:t>processes</w:t>
      </w:r>
      <w:r w:rsidR="0061752B" w:rsidRPr="00602A42">
        <w:t xml:space="preserve"> for registration and attendance confirmations and change of </w:t>
      </w:r>
      <w:r w:rsidR="003D4F9D" w:rsidRPr="00602A42">
        <w:t>circumstance</w:t>
      </w:r>
      <w:r w:rsidR="0061752B" w:rsidRPr="00602A42">
        <w:t xml:space="preserve"> </w:t>
      </w:r>
      <w:r w:rsidR="001F7C88" w:rsidRPr="00602A42">
        <w:t>notifications</w:t>
      </w:r>
      <w:r w:rsidR="00E45774" w:rsidRPr="00602A42">
        <w:t xml:space="preserve"> with the </w:t>
      </w:r>
      <w:r w:rsidR="00005920" w:rsidRPr="00602A42">
        <w:t xml:space="preserve">associated technical specifications </w:t>
      </w:r>
      <w:r w:rsidR="00E836F4" w:rsidRPr="00602A42">
        <w:t xml:space="preserve">available on the HE Gateway </w:t>
      </w:r>
      <w:r w:rsidR="00292218" w:rsidRPr="00602A42">
        <w:t xml:space="preserve">and the detailed functional guidance on the HEP Services website. </w:t>
      </w:r>
    </w:p>
    <w:p w14:paraId="2BD84267" w14:textId="77777777" w:rsidR="00131A0F" w:rsidRPr="00602A42" w:rsidRDefault="00131A0F" w:rsidP="00052298">
      <w:pPr>
        <w:ind w:left="-5"/>
        <w:jc w:val="both"/>
      </w:pPr>
    </w:p>
    <w:p w14:paraId="55EF667A" w14:textId="782A8531" w:rsidR="005421CB" w:rsidRPr="0091696C" w:rsidRDefault="00E45774" w:rsidP="0091696C">
      <w:pPr>
        <w:pStyle w:val="Heading2"/>
        <w:spacing w:before="240" w:after="240" w:line="247" w:lineRule="auto"/>
        <w:ind w:left="11" w:hanging="11"/>
        <w:rPr>
          <w:rFonts w:ascii="Calibri" w:hAnsi="Calibri" w:cs="Calibri"/>
        </w:rPr>
      </w:pPr>
      <w:r w:rsidRPr="0091696C">
        <w:rPr>
          <w:rFonts w:ascii="Calibri" w:hAnsi="Calibri" w:cs="Calibri"/>
        </w:rPr>
        <w:t xml:space="preserve">LLE SIS </w:t>
      </w:r>
      <w:r w:rsidR="005421CB" w:rsidRPr="0091696C">
        <w:rPr>
          <w:rFonts w:ascii="Calibri" w:hAnsi="Calibri" w:cs="Calibri"/>
        </w:rPr>
        <w:t>Registration Confirmation</w:t>
      </w:r>
    </w:p>
    <w:p w14:paraId="2B28C383" w14:textId="222A70A1" w:rsidR="002F27CC" w:rsidRPr="00602A42" w:rsidRDefault="006C066F" w:rsidP="002F2533">
      <w:pPr>
        <w:spacing w:line="247" w:lineRule="auto"/>
        <w:ind w:left="-6" w:hanging="11"/>
      </w:pPr>
      <w:r w:rsidRPr="00602A42">
        <w:t>If a student is studyin</w:t>
      </w:r>
      <w:r w:rsidR="00E93CD4" w:rsidRPr="00602A42">
        <w:t>g modules, you will be required to submit a registration confirmation for each module</w:t>
      </w:r>
      <w:r w:rsidR="00777C13" w:rsidRPr="00602A42">
        <w:t xml:space="preserve">, even if the modules are being </w:t>
      </w:r>
      <w:r w:rsidR="005076C9" w:rsidRPr="00602A42">
        <w:t>studied</w:t>
      </w:r>
      <w:r w:rsidR="00777C13" w:rsidRPr="00602A42">
        <w:t xml:space="preserve"> concurrently</w:t>
      </w:r>
      <w:r w:rsidR="00B03A1D" w:rsidRPr="00602A42">
        <w:t xml:space="preserve">. </w:t>
      </w:r>
      <w:r w:rsidR="005076C9" w:rsidRPr="00602A42">
        <w:t>I</w:t>
      </w:r>
      <w:r w:rsidR="00AB4D42" w:rsidRPr="00602A42">
        <w:t xml:space="preserve">f the </w:t>
      </w:r>
      <w:r w:rsidR="00DA2505" w:rsidRPr="00602A42">
        <w:t>student</w:t>
      </w:r>
      <w:r w:rsidR="00AB4D42" w:rsidRPr="00602A42">
        <w:t xml:space="preserve"> is studying a traditional course, a </w:t>
      </w:r>
      <w:r w:rsidR="00DA2505" w:rsidRPr="00602A42">
        <w:t>single</w:t>
      </w:r>
      <w:r w:rsidR="00AB4D42" w:rsidRPr="00602A42">
        <w:t xml:space="preserve"> registration conf</w:t>
      </w:r>
      <w:r w:rsidR="00DA2505" w:rsidRPr="00602A42">
        <w:t>i</w:t>
      </w:r>
      <w:r w:rsidR="00AB4D42" w:rsidRPr="00602A42">
        <w:t>rmation w</w:t>
      </w:r>
      <w:r w:rsidR="00DA2505" w:rsidRPr="00602A42">
        <w:t>ill</w:t>
      </w:r>
      <w:r w:rsidR="00AB4D42" w:rsidRPr="00602A42">
        <w:t xml:space="preserve"> be required</w:t>
      </w:r>
      <w:r w:rsidR="002F27CC" w:rsidRPr="00602A42">
        <w:t xml:space="preserve">. </w:t>
      </w:r>
      <w:r w:rsidR="00A82E83" w:rsidRPr="00602A42">
        <w:t xml:space="preserve">If a student happens to be studying a traditional course </w:t>
      </w:r>
      <w:r w:rsidR="007A5D2F" w:rsidRPr="00602A42">
        <w:t xml:space="preserve">and </w:t>
      </w:r>
      <w:r w:rsidR="001177F8" w:rsidRPr="00602A42">
        <w:t>add an</w:t>
      </w:r>
      <w:r w:rsidR="007A5D2F" w:rsidRPr="00602A42">
        <w:t xml:space="preserve"> extra module to their study, you will be expected to </w:t>
      </w:r>
      <w:r w:rsidR="001177F8" w:rsidRPr="00602A42">
        <w:t>submit two registration confirmations, one for the traditional course and one for the</w:t>
      </w:r>
      <w:r w:rsidR="001A7C56" w:rsidRPr="00602A42">
        <w:t xml:space="preserve"> additional module</w:t>
      </w:r>
      <w:r w:rsidR="001177F8" w:rsidRPr="00602A42">
        <w:t xml:space="preserve">. </w:t>
      </w:r>
      <w:r w:rsidR="002F27CC" w:rsidRPr="00602A42">
        <w:t xml:space="preserve">The </w:t>
      </w:r>
      <w:r w:rsidR="002F27CC" w:rsidRPr="00602A42">
        <w:lastRenderedPageBreak/>
        <w:t>following</w:t>
      </w:r>
      <w:r w:rsidR="001177F8" w:rsidRPr="00602A42">
        <w:t xml:space="preserve"> </w:t>
      </w:r>
      <w:r w:rsidR="002F27CC" w:rsidRPr="00602A42">
        <w:t>map</w:t>
      </w:r>
      <w:r w:rsidR="001177F8" w:rsidRPr="00602A42">
        <w:t xml:space="preserve"> </w:t>
      </w:r>
      <w:r w:rsidR="002F27CC" w:rsidRPr="00602A42">
        <w:t>outlines the registration confirmation process.</w:t>
      </w:r>
      <w:r w:rsidRPr="00602A42">
        <w:br/>
      </w:r>
    </w:p>
    <w:p w14:paraId="663BC20C" w14:textId="6E9C5192" w:rsidR="002F27CC" w:rsidRDefault="000F1DD9" w:rsidP="00052298">
      <w:pPr>
        <w:ind w:left="-5"/>
        <w:jc w:val="both"/>
        <w:rPr>
          <w:rFonts w:ascii="Arial" w:hAnsi="Arial" w:cs="Arial"/>
        </w:rPr>
      </w:pPr>
      <w:r w:rsidRPr="000F1DD9">
        <w:rPr>
          <w:noProof/>
        </w:rPr>
        <w:drawing>
          <wp:inline distT="0" distB="0" distL="0" distR="0" wp14:anchorId="1D6EFA93" wp14:editId="127F9062">
            <wp:extent cx="6120130" cy="2515953"/>
            <wp:effectExtent l="0" t="0" r="0" b="0"/>
            <wp:docPr id="201521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1223"/>
                    <a:stretch>
                      <a:fillRect/>
                    </a:stretch>
                  </pic:blipFill>
                  <pic:spPr bwMode="auto">
                    <a:xfrm>
                      <a:off x="0" y="0"/>
                      <a:ext cx="6120130" cy="2515953"/>
                    </a:xfrm>
                    <a:prstGeom prst="rect">
                      <a:avLst/>
                    </a:prstGeom>
                    <a:noFill/>
                    <a:ln>
                      <a:noFill/>
                    </a:ln>
                    <a:extLst>
                      <a:ext uri="{53640926-AAD7-44D8-BBD7-CCE9431645EC}">
                        <a14:shadowObscured xmlns:a14="http://schemas.microsoft.com/office/drawing/2010/main"/>
                      </a:ext>
                    </a:extLst>
                  </pic:spPr>
                </pic:pic>
              </a:graphicData>
            </a:graphic>
          </wp:inline>
        </w:drawing>
      </w:r>
    </w:p>
    <w:p w14:paraId="65BE33C4" w14:textId="77777777" w:rsidR="002F27CC" w:rsidRDefault="002F27CC" w:rsidP="00052298">
      <w:pPr>
        <w:ind w:left="-5"/>
        <w:jc w:val="both"/>
        <w:rPr>
          <w:rFonts w:ascii="Arial" w:hAnsi="Arial" w:cs="Arial"/>
        </w:rPr>
      </w:pPr>
    </w:p>
    <w:p w14:paraId="57121F07" w14:textId="78793CD9" w:rsidR="005421CB" w:rsidRPr="0091696C" w:rsidRDefault="00AB73B2" w:rsidP="0091696C">
      <w:pPr>
        <w:pStyle w:val="Heading2"/>
        <w:spacing w:before="240" w:after="240" w:line="247" w:lineRule="auto"/>
        <w:ind w:left="11" w:hanging="11"/>
        <w:rPr>
          <w:rFonts w:ascii="Calibri" w:hAnsi="Calibri" w:cs="Calibri"/>
        </w:rPr>
      </w:pPr>
      <w:r w:rsidRPr="0091696C">
        <w:rPr>
          <w:rFonts w:ascii="Calibri" w:hAnsi="Calibri" w:cs="Calibri"/>
        </w:rPr>
        <w:t xml:space="preserve">LLE SIS </w:t>
      </w:r>
      <w:r w:rsidR="005421CB" w:rsidRPr="0091696C">
        <w:rPr>
          <w:rFonts w:ascii="Calibri" w:hAnsi="Calibri" w:cs="Calibri"/>
        </w:rPr>
        <w:t>Attendance Confirmation</w:t>
      </w:r>
    </w:p>
    <w:p w14:paraId="403BB927" w14:textId="62E0E144" w:rsidR="007229C2" w:rsidRPr="00C55F2E" w:rsidRDefault="000F1DD9" w:rsidP="00860209">
      <w:pPr>
        <w:spacing w:line="247" w:lineRule="auto"/>
        <w:ind w:left="-6" w:hanging="11"/>
        <w:jc w:val="both"/>
      </w:pPr>
      <w:r w:rsidRPr="00C55F2E">
        <w:t>If a student is studying modules</w:t>
      </w:r>
      <w:r w:rsidR="0016673B" w:rsidRPr="00C55F2E">
        <w:t>,</w:t>
      </w:r>
      <w:r w:rsidR="007229C2" w:rsidRPr="00C55F2E">
        <w:t xml:space="preserve"> </w:t>
      </w:r>
      <w:r w:rsidR="004440FF" w:rsidRPr="00C55F2E">
        <w:t xml:space="preserve">the </w:t>
      </w:r>
      <w:r w:rsidR="005421CB" w:rsidRPr="00C55F2E">
        <w:t>number of attendance confirmations</w:t>
      </w:r>
      <w:r w:rsidR="004440FF" w:rsidRPr="00C55F2E">
        <w:t xml:space="preserve"> required for each module will be d</w:t>
      </w:r>
      <w:r w:rsidR="005421CB" w:rsidRPr="00C55F2E">
        <w:t xml:space="preserve">ependent on the length of </w:t>
      </w:r>
      <w:r w:rsidR="004440FF" w:rsidRPr="00C55F2E">
        <w:t xml:space="preserve">each </w:t>
      </w:r>
      <w:r w:rsidR="005421CB" w:rsidRPr="00C55F2E">
        <w:t>module</w:t>
      </w:r>
      <w:r w:rsidR="002E2D8F" w:rsidRPr="00C55F2E">
        <w:t xml:space="preserve">, up to a </w:t>
      </w:r>
      <w:r w:rsidR="001D2CF9" w:rsidRPr="00C55F2E">
        <w:t>maximum</w:t>
      </w:r>
      <w:r w:rsidR="002E2D8F" w:rsidRPr="00C55F2E">
        <w:t xml:space="preserve"> of 4</w:t>
      </w:r>
      <w:r w:rsidR="005421CB" w:rsidRPr="00C55F2E">
        <w:t>.</w:t>
      </w:r>
      <w:r w:rsidR="00B03A1D" w:rsidRPr="00C55F2E">
        <w:t xml:space="preserve"> </w:t>
      </w:r>
      <w:r w:rsidR="00DA11D1" w:rsidRPr="00C55F2E">
        <w:t xml:space="preserve">If a student is studying a </w:t>
      </w:r>
      <w:r w:rsidR="00765373" w:rsidRPr="00C55F2E">
        <w:t xml:space="preserve">traditional </w:t>
      </w:r>
      <w:r w:rsidR="00DA11D1" w:rsidRPr="00C55F2E">
        <w:t xml:space="preserve">course, </w:t>
      </w:r>
      <w:r w:rsidR="00120583" w:rsidRPr="00C55F2E">
        <w:t xml:space="preserve">you will need to submit the number of attendance confirmations required </w:t>
      </w:r>
      <w:r w:rsidR="00CD7F4A" w:rsidRPr="00C55F2E">
        <w:t>dependent on the length of study for each year of the course. For example:</w:t>
      </w:r>
      <w:r w:rsidR="00CB6894" w:rsidRPr="00C55F2E">
        <w:t xml:space="preserve"> </w:t>
      </w:r>
      <w:r w:rsidR="00CD7F4A" w:rsidRPr="00C55F2E">
        <w:t>Study in 1st course year spans 3</w:t>
      </w:r>
      <w:r w:rsidR="00CB6894" w:rsidRPr="00C55F2E">
        <w:t xml:space="preserve"> </w:t>
      </w:r>
      <w:r w:rsidR="00CD7F4A" w:rsidRPr="00C55F2E">
        <w:t xml:space="preserve">x </w:t>
      </w:r>
      <w:proofErr w:type="gramStart"/>
      <w:r w:rsidR="00CD7F4A" w:rsidRPr="00C55F2E">
        <w:t>13 week</w:t>
      </w:r>
      <w:proofErr w:type="gramEnd"/>
      <w:r w:rsidR="00CD7F4A" w:rsidRPr="00C55F2E">
        <w:t xml:space="preserve"> quarters, so three confirmations required.</w:t>
      </w:r>
      <w:r w:rsidR="00CB6894" w:rsidRPr="00C55F2E">
        <w:t xml:space="preserve"> </w:t>
      </w:r>
      <w:r w:rsidR="00CD7F4A" w:rsidRPr="00C55F2E">
        <w:t>Study in 2nd course year spans 4</w:t>
      </w:r>
      <w:r w:rsidR="00CB6894" w:rsidRPr="00C55F2E">
        <w:t xml:space="preserve"> </w:t>
      </w:r>
      <w:r w:rsidR="00CD7F4A" w:rsidRPr="00C55F2E">
        <w:t xml:space="preserve">x </w:t>
      </w:r>
      <w:proofErr w:type="gramStart"/>
      <w:r w:rsidR="00CD7F4A" w:rsidRPr="00C55F2E">
        <w:t>13 week</w:t>
      </w:r>
      <w:proofErr w:type="gramEnd"/>
      <w:r w:rsidR="00CD7F4A" w:rsidRPr="00C55F2E">
        <w:t xml:space="preserve"> quarters, so four confirmations required.</w:t>
      </w:r>
      <w:r w:rsidR="009C5707" w:rsidRPr="00C55F2E">
        <w:t xml:space="preserve"> </w:t>
      </w:r>
      <w:r w:rsidR="00765373" w:rsidRPr="00C55F2E">
        <w:t xml:space="preserve">If a student happens to be studying a traditional course and </w:t>
      </w:r>
      <w:r w:rsidR="00C520C8" w:rsidRPr="00C55F2E">
        <w:t xml:space="preserve">they </w:t>
      </w:r>
      <w:r w:rsidR="00765373" w:rsidRPr="00C55F2E">
        <w:t xml:space="preserve">add an extra module to their study, you will be expected to submit two </w:t>
      </w:r>
      <w:r w:rsidR="003F0383" w:rsidRPr="00C55F2E">
        <w:t>sets of attendance</w:t>
      </w:r>
      <w:r w:rsidR="00765373" w:rsidRPr="00C55F2E">
        <w:t xml:space="preserve"> confirmations, one </w:t>
      </w:r>
      <w:r w:rsidR="00930146" w:rsidRPr="00C55F2E">
        <w:t xml:space="preserve">set </w:t>
      </w:r>
      <w:r w:rsidR="00765373" w:rsidRPr="00C55F2E">
        <w:t xml:space="preserve">for the traditional course and one </w:t>
      </w:r>
      <w:r w:rsidR="00930146" w:rsidRPr="00C55F2E">
        <w:t xml:space="preserve">set </w:t>
      </w:r>
      <w:r w:rsidR="00765373" w:rsidRPr="00C55F2E">
        <w:t xml:space="preserve">for the </w:t>
      </w:r>
      <w:r w:rsidR="00F550D7" w:rsidRPr="00C55F2E">
        <w:t xml:space="preserve">additional </w:t>
      </w:r>
      <w:r w:rsidR="00765373" w:rsidRPr="00C55F2E">
        <w:t>module</w:t>
      </w:r>
      <w:r w:rsidR="00095261" w:rsidRPr="00C55F2E">
        <w:t>.</w:t>
      </w:r>
    </w:p>
    <w:p w14:paraId="6D8C561D" w14:textId="77777777" w:rsidR="00502648" w:rsidRDefault="00502648" w:rsidP="00052298">
      <w:pPr>
        <w:spacing w:after="0" w:line="259" w:lineRule="auto"/>
        <w:ind w:left="0" w:firstLine="0"/>
        <w:jc w:val="both"/>
        <w:rPr>
          <w:rFonts w:ascii="Arial" w:hAnsi="Arial" w:cs="Arial"/>
        </w:rPr>
      </w:pPr>
    </w:p>
    <w:p w14:paraId="40A46A4E" w14:textId="5050985B" w:rsidR="00502648" w:rsidRPr="007229C2" w:rsidRDefault="00DC4CAC" w:rsidP="00052298">
      <w:pPr>
        <w:spacing w:after="0" w:line="259" w:lineRule="auto"/>
        <w:ind w:left="0" w:firstLine="0"/>
        <w:jc w:val="both"/>
        <w:rPr>
          <w:rFonts w:ascii="Arial" w:hAnsi="Arial" w:cs="Arial"/>
        </w:rPr>
      </w:pPr>
      <w:r w:rsidRPr="00DC4CAC">
        <w:rPr>
          <w:noProof/>
        </w:rPr>
        <w:drawing>
          <wp:inline distT="0" distB="0" distL="0" distR="0" wp14:anchorId="43CBC0B7" wp14:editId="53B79283">
            <wp:extent cx="6120130" cy="2689860"/>
            <wp:effectExtent l="0" t="0" r="0" b="0"/>
            <wp:docPr id="171909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0746"/>
                    <a:stretch>
                      <a:fillRect/>
                    </a:stretch>
                  </pic:blipFill>
                  <pic:spPr bwMode="auto">
                    <a:xfrm>
                      <a:off x="0" y="0"/>
                      <a:ext cx="6120130" cy="2689860"/>
                    </a:xfrm>
                    <a:prstGeom prst="rect">
                      <a:avLst/>
                    </a:prstGeom>
                    <a:noFill/>
                    <a:ln>
                      <a:noFill/>
                    </a:ln>
                    <a:extLst>
                      <a:ext uri="{53640926-AAD7-44D8-BBD7-CCE9431645EC}">
                        <a14:shadowObscured xmlns:a14="http://schemas.microsoft.com/office/drawing/2010/main"/>
                      </a:ext>
                    </a:extLst>
                  </pic:spPr>
                </pic:pic>
              </a:graphicData>
            </a:graphic>
          </wp:inline>
        </w:drawing>
      </w:r>
    </w:p>
    <w:p w14:paraId="2FA3624A" w14:textId="77777777" w:rsidR="002E2D8F" w:rsidRDefault="002E2D8F" w:rsidP="00052298">
      <w:pPr>
        <w:ind w:left="-5"/>
        <w:jc w:val="both"/>
        <w:rPr>
          <w:rFonts w:ascii="Arial" w:hAnsi="Arial" w:cs="Arial"/>
        </w:rPr>
      </w:pPr>
    </w:p>
    <w:p w14:paraId="4E3AE01D" w14:textId="2878A26E" w:rsidR="007229C2" w:rsidRPr="00C55F2E" w:rsidRDefault="007229C2" w:rsidP="00860209">
      <w:pPr>
        <w:spacing w:line="247" w:lineRule="auto"/>
        <w:ind w:left="-6" w:hanging="11"/>
        <w:jc w:val="both"/>
      </w:pPr>
      <w:r w:rsidRPr="00C55F2E">
        <w:t>Student applications will transfer across to SIS within 24 hours of the application being approved.</w:t>
      </w:r>
    </w:p>
    <w:p w14:paraId="43B4954C" w14:textId="77777777" w:rsidR="007229C2" w:rsidRPr="00C55F2E" w:rsidRDefault="007229C2" w:rsidP="00860209">
      <w:pPr>
        <w:spacing w:line="247" w:lineRule="auto"/>
        <w:ind w:left="-6" w:hanging="11"/>
        <w:jc w:val="both"/>
      </w:pPr>
      <w:r w:rsidRPr="00C55F2E">
        <w:t xml:space="preserve"> </w:t>
      </w:r>
    </w:p>
    <w:p w14:paraId="01D05982" w14:textId="36FC2131" w:rsidR="007229C2" w:rsidRPr="00C55F2E" w:rsidRDefault="008866EA" w:rsidP="00860209">
      <w:pPr>
        <w:spacing w:line="247" w:lineRule="auto"/>
        <w:ind w:left="-6" w:hanging="11"/>
        <w:jc w:val="both"/>
      </w:pPr>
      <w:r w:rsidRPr="00C55F2E">
        <w:lastRenderedPageBreak/>
        <w:t xml:space="preserve">LLE </w:t>
      </w:r>
      <w:r w:rsidR="007229C2" w:rsidRPr="00C55F2E">
        <w:t xml:space="preserve">SIS is </w:t>
      </w:r>
      <w:r w:rsidR="00052298" w:rsidRPr="00C55F2E">
        <w:t xml:space="preserve">a </w:t>
      </w:r>
      <w:r w:rsidR="00F06F9F" w:rsidRPr="00C55F2E">
        <w:t xml:space="preserve">section </w:t>
      </w:r>
      <w:r w:rsidR="00D77053" w:rsidRPr="00C55F2E">
        <w:t>of SIS</w:t>
      </w:r>
      <w:r w:rsidR="00766D5A" w:rsidRPr="00C55F2E">
        <w:t>,</w:t>
      </w:r>
      <w:r w:rsidR="00052298" w:rsidRPr="00C55F2E">
        <w:t xml:space="preserve"> which is </w:t>
      </w:r>
      <w:r w:rsidR="007229C2" w:rsidRPr="00C55F2E">
        <w:t>a stand-alone service on the HE Gateway.</w:t>
      </w:r>
    </w:p>
    <w:p w14:paraId="60CF4F62" w14:textId="77777777" w:rsidR="007229C2" w:rsidRPr="00C55F2E" w:rsidRDefault="007229C2" w:rsidP="00EF2E80">
      <w:pPr>
        <w:pStyle w:val="Heading1"/>
        <w:spacing w:before="240" w:after="240" w:line="247" w:lineRule="auto"/>
        <w:ind w:left="-6" w:hanging="11"/>
        <w:rPr>
          <w:rFonts w:ascii="Calibri" w:hAnsi="Calibri" w:cs="Calibri"/>
        </w:rPr>
      </w:pPr>
      <w:bookmarkStart w:id="3" w:name="_Toc225775736"/>
      <w:r w:rsidRPr="00C55F2E">
        <w:rPr>
          <w:rFonts w:ascii="Calibri" w:hAnsi="Calibri" w:cs="Calibri"/>
        </w:rPr>
        <w:t>HEP responsibilities and terms of usage</w:t>
      </w:r>
      <w:bookmarkEnd w:id="3"/>
      <w:r w:rsidRPr="00C55F2E">
        <w:rPr>
          <w:rFonts w:ascii="Calibri" w:hAnsi="Calibri" w:cs="Calibri"/>
        </w:rPr>
        <w:t xml:space="preserve"> </w:t>
      </w:r>
    </w:p>
    <w:p w14:paraId="0F4CA188" w14:textId="4042C34C" w:rsidR="007229C2" w:rsidRPr="00C55F2E" w:rsidRDefault="007229C2" w:rsidP="00860209">
      <w:pPr>
        <w:spacing w:line="247" w:lineRule="auto"/>
        <w:ind w:left="-6" w:hanging="11"/>
        <w:jc w:val="both"/>
      </w:pPr>
      <w:r w:rsidRPr="00C55F2E">
        <w:t xml:space="preserve">You, as a service user, are responsible for ensuring that you are aware of, and implement, your responsibilities as defined in this document and the </w:t>
      </w:r>
      <w:r w:rsidR="00227C43" w:rsidRPr="00C55F2E">
        <w:t xml:space="preserve">LLE - </w:t>
      </w:r>
      <w:hyperlink r:id="rId13">
        <w:r w:rsidRPr="003E4DB1">
          <w:rPr>
            <w:color w:val="0000FF"/>
            <w:u w:val="single"/>
          </w:rPr>
          <w:t>Joint SLC and HEP Service Agreement</w:t>
        </w:r>
      </w:hyperlink>
      <w:hyperlink r:id="rId14">
        <w:r w:rsidRPr="00860209">
          <w:rPr>
            <w:color w:val="auto"/>
          </w:rPr>
          <w:t>.</w:t>
        </w:r>
      </w:hyperlink>
      <w:r w:rsidRPr="00C55F2E">
        <w:rPr>
          <w:color w:val="EE0000"/>
        </w:rPr>
        <w:t xml:space="preserve"> </w:t>
      </w:r>
      <w:r w:rsidRPr="00C55F2E">
        <w:t>You are responsible for</w:t>
      </w:r>
      <w:r w:rsidR="00BB3C96" w:rsidRPr="00C55F2E">
        <w:t xml:space="preserve"> complying with </w:t>
      </w:r>
      <w:r w:rsidRPr="00C55F2E">
        <w:t xml:space="preserve">the business rules of each function detailed within the </w:t>
      </w:r>
      <w:r w:rsidR="000D59E8" w:rsidRPr="00C55F2E">
        <w:t xml:space="preserve">LLE </w:t>
      </w:r>
      <w:r w:rsidRPr="00C55F2E">
        <w:t>guidance documentation held on the</w:t>
      </w:r>
      <w:hyperlink r:id="rId15">
        <w:r w:rsidRPr="00C55F2E">
          <w:t xml:space="preserve"> </w:t>
        </w:r>
      </w:hyperlink>
      <w:hyperlink r:id="rId16">
        <w:r w:rsidR="000A7821" w:rsidRPr="00C55F2E">
          <w:rPr>
            <w:color w:val="0000FF"/>
            <w:u w:val="single" w:color="0000FF"/>
          </w:rPr>
          <w:t>HEP Services website</w:t>
        </w:r>
      </w:hyperlink>
      <w:hyperlink r:id="rId17">
        <w:r w:rsidRPr="00C55F2E">
          <w:t>.</w:t>
        </w:r>
      </w:hyperlink>
    </w:p>
    <w:p w14:paraId="14D35589" w14:textId="77777777" w:rsidR="007229C2" w:rsidRPr="00C55F2E" w:rsidRDefault="007229C2" w:rsidP="00860209">
      <w:pPr>
        <w:pStyle w:val="Heading2"/>
        <w:spacing w:before="240" w:after="240" w:line="247" w:lineRule="auto"/>
        <w:ind w:left="-6" w:hanging="11"/>
        <w:rPr>
          <w:rFonts w:ascii="Calibri" w:hAnsi="Calibri" w:cs="Calibri"/>
        </w:rPr>
      </w:pPr>
      <w:bookmarkStart w:id="4" w:name="_Toc225775737"/>
      <w:r w:rsidRPr="00C55F2E">
        <w:rPr>
          <w:rFonts w:ascii="Calibri" w:hAnsi="Calibri" w:cs="Calibri"/>
        </w:rPr>
        <w:t>System</w:t>
      </w:r>
      <w:bookmarkEnd w:id="4"/>
      <w:r w:rsidRPr="00C55F2E">
        <w:rPr>
          <w:rFonts w:ascii="Calibri" w:hAnsi="Calibri" w:cs="Calibri"/>
        </w:rPr>
        <w:t xml:space="preserve"> </w:t>
      </w:r>
    </w:p>
    <w:p w14:paraId="2F71305F" w14:textId="33DACB43" w:rsidR="007229C2" w:rsidRPr="00C55F2E" w:rsidRDefault="007229C2" w:rsidP="00860209">
      <w:pPr>
        <w:spacing w:line="247" w:lineRule="auto"/>
        <w:ind w:left="-6" w:hanging="11"/>
        <w:jc w:val="both"/>
      </w:pPr>
      <w:r w:rsidRPr="00C55F2E">
        <w:t xml:space="preserve">You are responsible for ensuring that </w:t>
      </w:r>
      <w:r w:rsidR="00A02E8E" w:rsidRPr="00C55F2E">
        <w:t>SIS user</w:t>
      </w:r>
      <w:r w:rsidR="00AC0289" w:rsidRPr="00C55F2E">
        <w:t>s</w:t>
      </w:r>
      <w:r w:rsidR="00761E7A" w:rsidRPr="00C55F2E">
        <w:t xml:space="preserve"> within your organisation are </w:t>
      </w:r>
      <w:r w:rsidRPr="00C55F2E">
        <w:t xml:space="preserve">fully trained on all aspects of </w:t>
      </w:r>
      <w:r w:rsidR="00E029C1" w:rsidRPr="00C55F2E">
        <w:t xml:space="preserve">LLE </w:t>
      </w:r>
      <w:r w:rsidRPr="00C55F2E">
        <w:t>SIS processes.</w:t>
      </w:r>
    </w:p>
    <w:p w14:paraId="245972DF" w14:textId="7C7C460D" w:rsidR="007229C2" w:rsidRPr="00C55F2E" w:rsidRDefault="007229C2" w:rsidP="00860209">
      <w:pPr>
        <w:spacing w:line="247" w:lineRule="auto"/>
        <w:ind w:left="-6" w:hanging="11"/>
        <w:jc w:val="both"/>
      </w:pPr>
    </w:p>
    <w:p w14:paraId="16989DFF" w14:textId="466A9C07" w:rsidR="007229C2" w:rsidRPr="00C55F2E" w:rsidRDefault="007229C2" w:rsidP="00860209">
      <w:pPr>
        <w:spacing w:line="247" w:lineRule="auto"/>
        <w:ind w:left="-6" w:hanging="11"/>
        <w:jc w:val="both"/>
      </w:pPr>
      <w:r w:rsidRPr="00C55F2E">
        <w:t xml:space="preserve">We issue User Administrator access to a named user at each </w:t>
      </w:r>
      <w:r w:rsidR="003E2AF7" w:rsidRPr="00C55F2E">
        <w:t>HEP</w:t>
      </w:r>
      <w:r w:rsidRPr="00C55F2E">
        <w:t xml:space="preserve"> who is deemed accountable for: </w:t>
      </w:r>
    </w:p>
    <w:p w14:paraId="77F1EFF6" w14:textId="356F5103" w:rsidR="007229C2" w:rsidRPr="00C55F2E" w:rsidRDefault="007229C2" w:rsidP="00860209">
      <w:pPr>
        <w:spacing w:line="247" w:lineRule="auto"/>
        <w:ind w:left="-6" w:hanging="11"/>
        <w:jc w:val="both"/>
      </w:pPr>
      <w:r w:rsidRPr="00C55F2E">
        <w:t xml:space="preserve"> </w:t>
      </w:r>
      <w:r w:rsidR="00C51B8D" w:rsidRPr="00C55F2E">
        <w:t xml:space="preserve"> </w:t>
      </w:r>
    </w:p>
    <w:p w14:paraId="178FB6A4" w14:textId="02F09E99" w:rsidR="007229C2" w:rsidRPr="00C55F2E" w:rsidRDefault="007229C2" w:rsidP="00C307A6">
      <w:pPr>
        <w:numPr>
          <w:ilvl w:val="0"/>
          <w:numId w:val="7"/>
        </w:numPr>
        <w:spacing w:line="247" w:lineRule="auto"/>
        <w:ind w:left="738" w:hanging="454"/>
      </w:pPr>
      <w:r w:rsidRPr="00C55F2E">
        <w:t>undertaking biannual audits of access arrangements and removing any non-users</w:t>
      </w:r>
      <w:r w:rsidR="00C51B8D" w:rsidRPr="00C55F2E">
        <w:t>.</w:t>
      </w:r>
    </w:p>
    <w:p w14:paraId="7F5E783B" w14:textId="64011631" w:rsidR="007229C2" w:rsidRPr="00C55F2E" w:rsidRDefault="007229C2" w:rsidP="00C307A6">
      <w:pPr>
        <w:numPr>
          <w:ilvl w:val="0"/>
          <w:numId w:val="7"/>
        </w:numPr>
        <w:spacing w:line="247" w:lineRule="auto"/>
        <w:ind w:left="738" w:hanging="454"/>
      </w:pPr>
      <w:r w:rsidRPr="00C55F2E">
        <w:t>having at least 3 active user accounts</w:t>
      </w:r>
      <w:r w:rsidR="00C51B8D" w:rsidRPr="00C55F2E">
        <w:t>.</w:t>
      </w:r>
    </w:p>
    <w:p w14:paraId="59A58D60" w14:textId="77777777" w:rsidR="00C307A6" w:rsidRDefault="007229C2" w:rsidP="00C307A6">
      <w:pPr>
        <w:numPr>
          <w:ilvl w:val="0"/>
          <w:numId w:val="7"/>
        </w:numPr>
        <w:spacing w:line="247" w:lineRule="auto"/>
        <w:ind w:left="738" w:hanging="454"/>
      </w:pPr>
      <w:r w:rsidRPr="00C55F2E">
        <w:t xml:space="preserve">removing access to SIS immediately when a user leaves the </w:t>
      </w:r>
      <w:r w:rsidR="004F45C7" w:rsidRPr="00C55F2E">
        <w:t>HEP’s</w:t>
      </w:r>
      <w:r w:rsidRPr="00C55F2E">
        <w:t xml:space="preserve"> employment</w:t>
      </w:r>
      <w:r w:rsidR="00C51B8D" w:rsidRPr="00C55F2E">
        <w:t>.</w:t>
      </w:r>
    </w:p>
    <w:p w14:paraId="307B0AEA" w14:textId="77777777" w:rsidR="00C307A6" w:rsidRDefault="007229C2" w:rsidP="00C307A6">
      <w:pPr>
        <w:numPr>
          <w:ilvl w:val="0"/>
          <w:numId w:val="7"/>
        </w:numPr>
        <w:spacing w:line="247" w:lineRule="auto"/>
        <w:ind w:left="738" w:hanging="454"/>
      </w:pPr>
      <w:r w:rsidRPr="00C55F2E">
        <w:t>only assigning access roles to those who need it as part of their role and ensuring that the</w:t>
      </w:r>
      <w:r w:rsidR="00C307A6">
        <w:t xml:space="preserve"> </w:t>
      </w:r>
      <w:r w:rsidRPr="00C55F2E">
        <w:t>level of access is appropriate to their role responsibilities</w:t>
      </w:r>
      <w:r w:rsidR="00C51B8D" w:rsidRPr="00C55F2E">
        <w:t>.</w:t>
      </w:r>
    </w:p>
    <w:p w14:paraId="50D81886" w14:textId="000DE79C" w:rsidR="007229C2" w:rsidRPr="00C55F2E" w:rsidRDefault="007229C2" w:rsidP="00C307A6">
      <w:pPr>
        <w:numPr>
          <w:ilvl w:val="0"/>
          <w:numId w:val="7"/>
        </w:numPr>
        <w:spacing w:line="247" w:lineRule="auto"/>
        <w:ind w:left="738" w:hanging="454"/>
      </w:pPr>
      <w:r w:rsidRPr="00C55F2E">
        <w:t>ensuring that attendance and registration confirmations are subject to assurance and</w:t>
      </w:r>
      <w:r w:rsidR="0012171B">
        <w:t xml:space="preserve"> </w:t>
      </w:r>
      <w:r w:rsidRPr="00C55F2E">
        <w:t xml:space="preserve">validation checks within the </w:t>
      </w:r>
      <w:r w:rsidR="00B605D6" w:rsidRPr="00C55F2E">
        <w:t>HEP.</w:t>
      </w:r>
      <w:r w:rsidRPr="00C55F2E">
        <w:t xml:space="preserve">  </w:t>
      </w:r>
    </w:p>
    <w:p w14:paraId="0D31A386" w14:textId="77777777" w:rsidR="007229C2" w:rsidRPr="00C55F2E" w:rsidRDefault="007229C2" w:rsidP="00860209">
      <w:pPr>
        <w:spacing w:line="247" w:lineRule="auto"/>
        <w:ind w:left="-6" w:hanging="11"/>
      </w:pPr>
      <w:r w:rsidRPr="00C55F2E">
        <w:t xml:space="preserve"> </w:t>
      </w:r>
    </w:p>
    <w:p w14:paraId="445B1329" w14:textId="1B9825A6" w:rsidR="007229C2" w:rsidRPr="00C55F2E" w:rsidRDefault="007229C2" w:rsidP="00860209">
      <w:pPr>
        <w:spacing w:line="247" w:lineRule="auto"/>
        <w:ind w:left="-6" w:hanging="11"/>
        <w:jc w:val="both"/>
      </w:pPr>
      <w:r w:rsidRPr="00C55F2E">
        <w:t xml:space="preserve">You are also responsible for carrying out a regular review of contact details and notifying us if there are any contact detail changes involving the primary contact for SIS. This </w:t>
      </w:r>
      <w:r w:rsidR="00F039D9">
        <w:t xml:space="preserve">is </w:t>
      </w:r>
      <w:r w:rsidRPr="00C55F2E">
        <w:t xml:space="preserve">a UK DPA 2018 requirement. </w:t>
      </w:r>
    </w:p>
    <w:p w14:paraId="74FAF0AC" w14:textId="77777777" w:rsidR="007229C2" w:rsidRPr="00C55F2E" w:rsidRDefault="007229C2" w:rsidP="00860209">
      <w:pPr>
        <w:spacing w:line="247" w:lineRule="auto"/>
        <w:ind w:left="-6" w:hanging="11"/>
      </w:pPr>
      <w:r w:rsidRPr="00C55F2E">
        <w:rPr>
          <w:sz w:val="23"/>
        </w:rPr>
        <w:t xml:space="preserve"> </w:t>
      </w:r>
    </w:p>
    <w:p w14:paraId="59EFDC16" w14:textId="77777777" w:rsidR="007229C2" w:rsidRPr="00C55F2E" w:rsidRDefault="007229C2" w:rsidP="00860209">
      <w:pPr>
        <w:spacing w:line="247" w:lineRule="auto"/>
        <w:ind w:left="-6" w:hanging="11"/>
        <w:jc w:val="both"/>
      </w:pPr>
      <w:r w:rsidRPr="00C55F2E">
        <w:t xml:space="preserve">You must ensure that an IT contact (either internal or external) is made available on request. </w:t>
      </w:r>
    </w:p>
    <w:p w14:paraId="61DB1D85" w14:textId="77777777" w:rsidR="007229C2" w:rsidRPr="00C55F2E" w:rsidRDefault="007229C2" w:rsidP="00860209">
      <w:pPr>
        <w:spacing w:line="247" w:lineRule="auto"/>
        <w:ind w:left="-6" w:hanging="11"/>
      </w:pPr>
      <w:r w:rsidRPr="00C55F2E">
        <w:t xml:space="preserve"> </w:t>
      </w:r>
    </w:p>
    <w:p w14:paraId="2E0855E1" w14:textId="4F4EC227" w:rsidR="007229C2" w:rsidRPr="00C55F2E" w:rsidRDefault="007229C2" w:rsidP="00860209">
      <w:pPr>
        <w:spacing w:line="247" w:lineRule="auto"/>
        <w:ind w:left="-6" w:hanging="11"/>
        <w:jc w:val="both"/>
      </w:pPr>
      <w:r w:rsidRPr="00C55F2E">
        <w:t xml:space="preserve">In the event of a cyber-attack, where it is evident that there is an impact to your student data system which results in you </w:t>
      </w:r>
      <w:proofErr w:type="gramStart"/>
      <w:r w:rsidRPr="00C55F2E">
        <w:t>being</w:t>
      </w:r>
      <w:proofErr w:type="gramEnd"/>
      <w:r w:rsidRPr="00C55F2E">
        <w:t xml:space="preserve"> unable to make data returns to us, you should immediately notify your </w:t>
      </w:r>
      <w:r w:rsidRPr="00F103F2">
        <w:rPr>
          <w:color w:val="0000FF"/>
          <w:u w:val="single" w:color="0000FF"/>
        </w:rPr>
        <w:t>HEP Account</w:t>
      </w:r>
      <w:hyperlink r:id="rId18">
        <w:r w:rsidRPr="00F103F2">
          <w:rPr>
            <w:color w:val="0000FF"/>
            <w:u w:val="single"/>
          </w:rPr>
          <w:t xml:space="preserve"> </w:t>
        </w:r>
      </w:hyperlink>
      <w:hyperlink r:id="rId19">
        <w:r w:rsidRPr="00F103F2">
          <w:rPr>
            <w:color w:val="0000FF"/>
            <w:u w:val="single" w:color="0000FF"/>
          </w:rPr>
          <w:t>Manager</w:t>
        </w:r>
      </w:hyperlink>
      <w:hyperlink r:id="rId20">
        <w:r w:rsidRPr="00C55F2E">
          <w:t>.</w:t>
        </w:r>
      </w:hyperlink>
      <w:r w:rsidRPr="00C55F2E">
        <w:rPr>
          <w:sz w:val="16"/>
        </w:rPr>
        <w:t xml:space="preserve"> </w:t>
      </w:r>
    </w:p>
    <w:p w14:paraId="1672DC65" w14:textId="77777777" w:rsidR="007229C2" w:rsidRPr="00C55F2E" w:rsidRDefault="007229C2" w:rsidP="008407DF">
      <w:pPr>
        <w:pStyle w:val="Heading2"/>
        <w:spacing w:before="240" w:after="240" w:line="247" w:lineRule="auto"/>
        <w:ind w:left="-6" w:hanging="11"/>
        <w:rPr>
          <w:rFonts w:ascii="Calibri" w:hAnsi="Calibri" w:cs="Calibri"/>
        </w:rPr>
      </w:pPr>
      <w:bookmarkStart w:id="5" w:name="_Toc225775738"/>
      <w:r w:rsidRPr="00C55F2E">
        <w:rPr>
          <w:rFonts w:ascii="Calibri" w:hAnsi="Calibri" w:cs="Calibri"/>
        </w:rPr>
        <w:t>Student information</w:t>
      </w:r>
      <w:bookmarkEnd w:id="5"/>
      <w:r w:rsidRPr="00C55F2E">
        <w:rPr>
          <w:rFonts w:ascii="Calibri" w:hAnsi="Calibri" w:cs="Calibri"/>
        </w:rPr>
        <w:t xml:space="preserve"> </w:t>
      </w:r>
    </w:p>
    <w:p w14:paraId="285AA89A" w14:textId="05B8A52B" w:rsidR="007229C2" w:rsidRPr="00C55F2E" w:rsidRDefault="007229C2" w:rsidP="00860209">
      <w:pPr>
        <w:spacing w:line="247" w:lineRule="auto"/>
        <w:ind w:left="-6" w:hanging="11"/>
        <w:jc w:val="both"/>
      </w:pPr>
      <w:r w:rsidRPr="00C55F2E">
        <w:t xml:space="preserve">You are responsible for ensuring the accuracy of the </w:t>
      </w:r>
      <w:r w:rsidR="00E9681B" w:rsidRPr="00C55F2E">
        <w:t xml:space="preserve">course, </w:t>
      </w:r>
      <w:r w:rsidR="00404E48" w:rsidRPr="00C55F2E">
        <w:t xml:space="preserve">module and </w:t>
      </w:r>
      <w:r w:rsidR="00E9681B" w:rsidRPr="00C55F2E">
        <w:t xml:space="preserve">tuition </w:t>
      </w:r>
      <w:r w:rsidRPr="00C55F2E">
        <w:t xml:space="preserve">fee information held on </w:t>
      </w:r>
      <w:r w:rsidR="009A716B" w:rsidRPr="00C55F2E">
        <w:t xml:space="preserve">LLE </w:t>
      </w:r>
      <w:r w:rsidRPr="00C55F2E">
        <w:t xml:space="preserve">SIS, and for submitting CoC notifications where necessary. You must do this before you confirm student attendance. This will ensure that we can assess students against the correct details and that the fee payments we issue to you, as well as maintenance and </w:t>
      </w:r>
      <w:r w:rsidR="00E922E0" w:rsidRPr="00C55F2E">
        <w:t xml:space="preserve">supplementary grants </w:t>
      </w:r>
      <w:r w:rsidRPr="00C55F2E">
        <w:t xml:space="preserve">to students, are accurate and paid on time.  </w:t>
      </w:r>
    </w:p>
    <w:p w14:paraId="2E231F61" w14:textId="77777777" w:rsidR="000F402B" w:rsidRDefault="000F402B" w:rsidP="00860209">
      <w:pPr>
        <w:spacing w:line="247" w:lineRule="auto"/>
        <w:ind w:left="-6" w:hanging="11"/>
        <w:jc w:val="both"/>
      </w:pPr>
    </w:p>
    <w:p w14:paraId="690503F0" w14:textId="3E601900" w:rsidR="005726D6" w:rsidRPr="00C55F2E" w:rsidRDefault="005726D6" w:rsidP="00860209">
      <w:pPr>
        <w:spacing w:line="247" w:lineRule="auto"/>
        <w:ind w:left="-6" w:hanging="11"/>
        <w:jc w:val="both"/>
      </w:pPr>
      <w:r w:rsidRPr="00C55F2E">
        <w:t xml:space="preserve">You should address and rectify all failed </w:t>
      </w:r>
      <w:r w:rsidR="00912977" w:rsidRPr="00C55F2E">
        <w:t xml:space="preserve">bulk upload </w:t>
      </w:r>
      <w:r w:rsidRPr="00C55F2E">
        <w:t>submissions</w:t>
      </w:r>
      <w:r w:rsidR="008021E9" w:rsidRPr="00C55F2E">
        <w:t>, registration, attendance</w:t>
      </w:r>
      <w:r w:rsidR="00703055" w:rsidRPr="00C55F2E">
        <w:t xml:space="preserve"> </w:t>
      </w:r>
      <w:r w:rsidR="008021E9" w:rsidRPr="00C55F2E">
        <w:t>and change of circumstance</w:t>
      </w:r>
      <w:r w:rsidRPr="00C55F2E">
        <w:t xml:space="preserve">. You should check the relevant technical specification for the file you are uploading, found on the </w:t>
      </w:r>
      <w:r w:rsidR="008021E9" w:rsidRPr="00C55F2E">
        <w:t>HE Gateway</w:t>
      </w:r>
      <w:r w:rsidRPr="00C55F2E">
        <w:t xml:space="preserve"> homepage. </w:t>
      </w:r>
    </w:p>
    <w:p w14:paraId="73841BD7" w14:textId="77777777" w:rsidR="007229C2" w:rsidRPr="00C55F2E" w:rsidRDefault="007229C2" w:rsidP="00E15AD0">
      <w:pPr>
        <w:pStyle w:val="Heading2"/>
        <w:spacing w:before="240" w:after="240" w:line="247" w:lineRule="auto"/>
        <w:ind w:left="-6" w:hanging="11"/>
        <w:rPr>
          <w:rFonts w:ascii="Calibri" w:hAnsi="Calibri" w:cs="Calibri"/>
        </w:rPr>
      </w:pPr>
      <w:bookmarkStart w:id="6" w:name="_Toc225775739"/>
      <w:r w:rsidRPr="00C55F2E">
        <w:rPr>
          <w:rFonts w:ascii="Calibri" w:hAnsi="Calibri" w:cs="Calibri"/>
        </w:rPr>
        <w:lastRenderedPageBreak/>
        <w:t>Registration</w:t>
      </w:r>
      <w:bookmarkEnd w:id="6"/>
      <w:r w:rsidRPr="00C55F2E">
        <w:rPr>
          <w:rFonts w:ascii="Calibri" w:hAnsi="Calibri" w:cs="Calibri"/>
        </w:rPr>
        <w:t xml:space="preserve"> </w:t>
      </w:r>
    </w:p>
    <w:p w14:paraId="107873B5" w14:textId="77777777" w:rsidR="007229C2" w:rsidRPr="00C55F2E" w:rsidRDefault="007229C2" w:rsidP="00860209">
      <w:pPr>
        <w:spacing w:line="247" w:lineRule="auto"/>
        <w:ind w:left="-6" w:hanging="11"/>
        <w:jc w:val="both"/>
      </w:pPr>
      <w:r w:rsidRPr="00C55F2E">
        <w:t xml:space="preserve">You should regularly review and update the Registration Worklist. </w:t>
      </w:r>
    </w:p>
    <w:p w14:paraId="77FBA8FD" w14:textId="64580AC6" w:rsidR="007229C2" w:rsidRPr="00C55F2E" w:rsidRDefault="007229C2" w:rsidP="00860209">
      <w:pPr>
        <w:spacing w:line="247" w:lineRule="auto"/>
        <w:ind w:left="-6" w:hanging="11"/>
      </w:pPr>
    </w:p>
    <w:p w14:paraId="0C8EE1A2" w14:textId="7B7346E8" w:rsidR="007229C2" w:rsidRPr="00C55F2E" w:rsidRDefault="007229C2" w:rsidP="00860209">
      <w:pPr>
        <w:spacing w:line="247" w:lineRule="auto"/>
        <w:ind w:left="-6" w:hanging="11"/>
        <w:jc w:val="both"/>
      </w:pPr>
      <w:r w:rsidRPr="00C55F2E">
        <w:t>Your enrolment process for new students should include confirming their identity and that they are valid students. You should confirm registration as soon as you can, but only after you’ve completed the enrolment process</w:t>
      </w:r>
      <w:r w:rsidR="00A300AF" w:rsidRPr="00C55F2E">
        <w:t xml:space="preserve">, including </w:t>
      </w:r>
      <w:r w:rsidR="004306DF" w:rsidRPr="00C55F2E">
        <w:t>ensuring the number of credits are correct</w:t>
      </w:r>
      <w:r w:rsidRPr="00C55F2E">
        <w:t>.</w:t>
      </w:r>
    </w:p>
    <w:p w14:paraId="6072B0BB" w14:textId="77777777" w:rsidR="007229C2" w:rsidRPr="00C55F2E" w:rsidRDefault="007229C2" w:rsidP="00860209">
      <w:pPr>
        <w:spacing w:line="247" w:lineRule="auto"/>
        <w:ind w:left="-6" w:hanging="11"/>
      </w:pPr>
      <w:r w:rsidRPr="00C55F2E">
        <w:t xml:space="preserve"> </w:t>
      </w:r>
    </w:p>
    <w:p w14:paraId="2AF2EE92" w14:textId="35347833" w:rsidR="007229C2" w:rsidRPr="00C55F2E" w:rsidRDefault="007229C2" w:rsidP="00860209">
      <w:pPr>
        <w:spacing w:line="247" w:lineRule="auto"/>
        <w:ind w:left="-6" w:hanging="11"/>
        <w:jc w:val="both"/>
      </w:pPr>
      <w:r w:rsidRPr="00C55F2E">
        <w:t xml:space="preserve">You need to ensure that there is a process in place for independent validation of registration confirmations. At least 2 members of each </w:t>
      </w:r>
      <w:r w:rsidR="00844C9B" w:rsidRPr="00C55F2E">
        <w:t>HEP</w:t>
      </w:r>
      <w:r w:rsidRPr="00C55F2E">
        <w:t xml:space="preserve"> should be involved in this for assurance purposes. You can achieve this </w:t>
      </w:r>
      <w:r w:rsidR="00FC0F04" w:rsidRPr="00C55F2E">
        <w:t>by ensuring</w:t>
      </w:r>
      <w:r w:rsidRPr="00C55F2E">
        <w:t xml:space="preserve">: </w:t>
      </w:r>
    </w:p>
    <w:p w14:paraId="44B71B73" w14:textId="77777777" w:rsidR="007229C2" w:rsidRPr="00C55F2E" w:rsidRDefault="007229C2" w:rsidP="00860209">
      <w:pPr>
        <w:spacing w:line="247" w:lineRule="auto"/>
        <w:ind w:left="-6" w:hanging="11"/>
      </w:pPr>
      <w:r w:rsidRPr="00C55F2E">
        <w:rPr>
          <w:sz w:val="23"/>
        </w:rPr>
        <w:t xml:space="preserve"> </w:t>
      </w:r>
    </w:p>
    <w:p w14:paraId="72225E00" w14:textId="3556C0F0" w:rsidR="007229C2" w:rsidRPr="00C55F2E" w:rsidRDefault="007229C2" w:rsidP="00437EA2">
      <w:pPr>
        <w:numPr>
          <w:ilvl w:val="0"/>
          <w:numId w:val="8"/>
        </w:numPr>
        <w:spacing w:line="247" w:lineRule="auto"/>
        <w:ind w:left="738" w:hanging="454"/>
        <w:jc w:val="both"/>
      </w:pPr>
      <w:r w:rsidRPr="00C55F2E">
        <w:t xml:space="preserve">where confirmations are system generated, the process managers are responsible for assurance of accuracy and security of the involved systems and processes for example, where Admissions create the entry in the student record system after a student has been accepted, and Registry use their internal system and SIS to confirm registration, the process managers would be an Admissions Manager and Registry Manager </w:t>
      </w:r>
    </w:p>
    <w:p w14:paraId="2B7D21DC" w14:textId="77777777" w:rsidR="007229C2" w:rsidRPr="00C55F2E" w:rsidRDefault="007229C2" w:rsidP="00860209">
      <w:pPr>
        <w:spacing w:line="247" w:lineRule="auto"/>
        <w:ind w:left="-6" w:hanging="11"/>
      </w:pPr>
      <w:r w:rsidRPr="00C55F2E">
        <w:rPr>
          <w:sz w:val="23"/>
        </w:rPr>
        <w:t xml:space="preserve"> </w:t>
      </w:r>
    </w:p>
    <w:p w14:paraId="7A88B223" w14:textId="525B57A7" w:rsidR="007229C2" w:rsidRPr="00C55F2E" w:rsidRDefault="007229C2" w:rsidP="00860209">
      <w:pPr>
        <w:spacing w:line="247" w:lineRule="auto"/>
        <w:ind w:left="-6" w:hanging="11"/>
        <w:jc w:val="both"/>
      </w:pPr>
      <w:r>
        <w:t xml:space="preserve">You can confirm student registration </w:t>
      </w:r>
      <w:r w:rsidR="29E74704">
        <w:t xml:space="preserve">from </w:t>
      </w:r>
      <w:r>
        <w:t xml:space="preserve">30 days before the </w:t>
      </w:r>
      <w:r w:rsidR="00362D04">
        <w:t xml:space="preserve">module or </w:t>
      </w:r>
      <w:r>
        <w:t xml:space="preserve">course start date held on our system. If a student’s actual </w:t>
      </w:r>
      <w:r w:rsidR="00362D04">
        <w:t xml:space="preserve">module or </w:t>
      </w:r>
      <w:r>
        <w:t>course start date is different you should submit a Change of Circumstance. Do not submit any registration</w:t>
      </w:r>
      <w:r w:rsidR="00565AB3">
        <w:t xml:space="preserve"> confirmation</w:t>
      </w:r>
      <w:r>
        <w:t xml:space="preserve">s until the change has been made. You should aim to submit registration confirmations by 4pm so we can carry out the necessary processing and generate same day instructions to BACS; payments associated with this are detailed in the payments section. </w:t>
      </w:r>
    </w:p>
    <w:p w14:paraId="6926D1E9" w14:textId="77777777" w:rsidR="007229C2" w:rsidRPr="00C55F2E" w:rsidRDefault="007229C2" w:rsidP="00860209">
      <w:pPr>
        <w:spacing w:line="247" w:lineRule="auto"/>
        <w:ind w:left="-6" w:hanging="11"/>
      </w:pPr>
      <w:r w:rsidRPr="00C55F2E">
        <w:rPr>
          <w:sz w:val="23"/>
        </w:rPr>
        <w:t xml:space="preserve"> </w:t>
      </w:r>
    </w:p>
    <w:p w14:paraId="114FD8C0" w14:textId="32440397" w:rsidR="007229C2" w:rsidRPr="00C55F2E" w:rsidRDefault="007229C2" w:rsidP="00860209">
      <w:pPr>
        <w:spacing w:line="247" w:lineRule="auto"/>
        <w:ind w:left="-6" w:hanging="11"/>
        <w:jc w:val="both"/>
      </w:pPr>
      <w:r w:rsidRPr="00C55F2E">
        <w:t xml:space="preserve">You should normally wait for 4 weeks after the </w:t>
      </w:r>
      <w:r w:rsidR="00D80A21" w:rsidRPr="00C55F2E">
        <w:t>module or course start date</w:t>
      </w:r>
      <w:r w:rsidR="00382A15" w:rsidRPr="00C55F2E">
        <w:t xml:space="preserve"> </w:t>
      </w:r>
      <w:r w:rsidRPr="00C55F2E">
        <w:t xml:space="preserve">to submit ‘Not Registered’ (N codes) to give students time to register at another university or college if they have chosen to attend one. However, if you know the student has decided not to pursue or return to higher education you should submit N codes as soon as possible. </w:t>
      </w:r>
    </w:p>
    <w:p w14:paraId="3F3AEFF4" w14:textId="77777777" w:rsidR="007229C2" w:rsidRPr="00C55F2E" w:rsidRDefault="007229C2" w:rsidP="00860209">
      <w:pPr>
        <w:spacing w:line="247" w:lineRule="auto"/>
        <w:ind w:left="-6" w:hanging="11"/>
      </w:pPr>
      <w:r w:rsidRPr="00C55F2E">
        <w:t xml:space="preserve"> </w:t>
      </w:r>
    </w:p>
    <w:p w14:paraId="531431F1" w14:textId="77777777" w:rsidR="007229C2" w:rsidRPr="00C55F2E" w:rsidRDefault="007229C2" w:rsidP="00860209">
      <w:pPr>
        <w:spacing w:line="247" w:lineRule="auto"/>
        <w:ind w:left="-6" w:hanging="11"/>
        <w:jc w:val="both"/>
      </w:pPr>
      <w:r w:rsidRPr="00C55F2E">
        <w:t xml:space="preserve">You must accept our decision on whether a student is defined as a home or overseas student. </w:t>
      </w:r>
    </w:p>
    <w:p w14:paraId="10B56E72" w14:textId="77777777" w:rsidR="007229C2" w:rsidRPr="00C55F2E" w:rsidRDefault="007229C2" w:rsidP="00437EA2">
      <w:pPr>
        <w:pStyle w:val="Heading2"/>
        <w:spacing w:before="240" w:after="240" w:line="247" w:lineRule="auto"/>
        <w:ind w:left="-6" w:hanging="11"/>
        <w:rPr>
          <w:rFonts w:ascii="Calibri" w:hAnsi="Calibri" w:cs="Calibri"/>
        </w:rPr>
      </w:pPr>
      <w:bookmarkStart w:id="7" w:name="_Toc225775740"/>
      <w:r w:rsidRPr="00C55F2E">
        <w:rPr>
          <w:rFonts w:ascii="Calibri" w:hAnsi="Calibri" w:cs="Calibri"/>
        </w:rPr>
        <w:t>Attendance</w:t>
      </w:r>
      <w:bookmarkEnd w:id="7"/>
      <w:r w:rsidRPr="00C55F2E">
        <w:rPr>
          <w:rFonts w:ascii="Calibri" w:hAnsi="Calibri" w:cs="Calibri"/>
        </w:rPr>
        <w:t xml:space="preserve"> </w:t>
      </w:r>
    </w:p>
    <w:p w14:paraId="01B93542" w14:textId="78C921A0" w:rsidR="007229C2" w:rsidRPr="00C55F2E" w:rsidRDefault="007229C2" w:rsidP="00860209">
      <w:pPr>
        <w:spacing w:line="247" w:lineRule="auto"/>
        <w:ind w:left="-6" w:hanging="11"/>
        <w:jc w:val="both"/>
      </w:pPr>
      <w:r w:rsidRPr="00C55F2E">
        <w:t>You should only confirm attendance after you have registered your students with the appropriate awarding body</w:t>
      </w:r>
      <w:r w:rsidR="000169B9" w:rsidRPr="00C55F2E">
        <w:t xml:space="preserve"> and a period o</w:t>
      </w:r>
      <w:r w:rsidR="00DD43E9" w:rsidRPr="00C55F2E">
        <w:t xml:space="preserve">f 14 days of attendance </w:t>
      </w:r>
      <w:r w:rsidR="00EC650C" w:rsidRPr="00C55F2E">
        <w:t xml:space="preserve">from the course start date </w:t>
      </w:r>
      <w:r w:rsidR="00DD43E9" w:rsidRPr="00C55F2E">
        <w:t>has elapsed</w:t>
      </w:r>
      <w:r w:rsidRPr="00C55F2E">
        <w:t xml:space="preserve">. If your </w:t>
      </w:r>
      <w:r w:rsidR="00977CB3" w:rsidRPr="00C55F2E">
        <w:t>HEP</w:t>
      </w:r>
      <w:r w:rsidRPr="00C55F2E">
        <w:t xml:space="preserve"> has its own awarding powers, you should complete the enrolment process for students before you confirm attendance. </w:t>
      </w:r>
    </w:p>
    <w:p w14:paraId="393CC7BE" w14:textId="77777777" w:rsidR="007229C2" w:rsidRPr="00C55F2E" w:rsidRDefault="007229C2" w:rsidP="00860209">
      <w:pPr>
        <w:spacing w:line="247" w:lineRule="auto"/>
        <w:ind w:left="-6" w:hanging="11"/>
      </w:pPr>
      <w:r w:rsidRPr="00C55F2E">
        <w:t xml:space="preserve"> </w:t>
      </w:r>
    </w:p>
    <w:p w14:paraId="6BC7A8A7" w14:textId="7FED995A" w:rsidR="007229C2" w:rsidRPr="00C55F2E" w:rsidRDefault="007229C2" w:rsidP="00860209">
      <w:pPr>
        <w:spacing w:line="247" w:lineRule="auto"/>
        <w:ind w:left="-6" w:hanging="11"/>
        <w:jc w:val="both"/>
      </w:pPr>
      <w:r w:rsidRPr="00C55F2E">
        <w:t xml:space="preserve">You should confirm attendance when students have started attending the </w:t>
      </w:r>
      <w:r w:rsidR="008964E9" w:rsidRPr="00C55F2E">
        <w:t xml:space="preserve">module or </w:t>
      </w:r>
      <w:r w:rsidRPr="00C55F2E">
        <w:t xml:space="preserve">course and have become </w:t>
      </w:r>
      <w:r w:rsidR="00210B13" w:rsidRPr="00C55F2E">
        <w:t>subject to be charged a fee</w:t>
      </w:r>
      <w:r w:rsidRPr="00C55F2E">
        <w:t xml:space="preserve">, after </w:t>
      </w:r>
      <w:r w:rsidR="00893A2E" w:rsidRPr="00C55F2E">
        <w:t xml:space="preserve">the minimum mandatory </w:t>
      </w:r>
      <w:r w:rsidRPr="00C55F2E">
        <w:t>cooling off period</w:t>
      </w:r>
      <w:r w:rsidR="00893A2E" w:rsidRPr="00C55F2E">
        <w:t xml:space="preserve"> of 14 days</w:t>
      </w:r>
      <w:r w:rsidR="00700D29" w:rsidRPr="00C55F2E">
        <w:t>, or in line with your policy where the minimum cooling off period is greater than the mandatory timeframe</w:t>
      </w:r>
      <w:r w:rsidRPr="00C55F2E">
        <w:t xml:space="preserve">.  </w:t>
      </w:r>
    </w:p>
    <w:p w14:paraId="1170E20B" w14:textId="77777777" w:rsidR="00700D29" w:rsidRPr="00C55F2E" w:rsidRDefault="00700D29" w:rsidP="00860209">
      <w:pPr>
        <w:spacing w:line="247" w:lineRule="auto"/>
        <w:ind w:left="-6" w:hanging="11"/>
        <w:jc w:val="both"/>
      </w:pPr>
    </w:p>
    <w:p w14:paraId="790CB105" w14:textId="10742FB7" w:rsidR="007229C2" w:rsidRPr="00C55F2E" w:rsidRDefault="007229C2" w:rsidP="00860209">
      <w:pPr>
        <w:spacing w:line="247" w:lineRule="auto"/>
        <w:ind w:left="-6" w:hanging="11"/>
        <w:jc w:val="both"/>
      </w:pPr>
      <w:r w:rsidRPr="00C55F2E">
        <w:lastRenderedPageBreak/>
        <w:t xml:space="preserve">You should deal with students with late confirmations for previous </w:t>
      </w:r>
      <w:r w:rsidR="00E008DD" w:rsidRPr="00C55F2E">
        <w:t xml:space="preserve">payment </w:t>
      </w:r>
      <w:r w:rsidRPr="00C55F2E">
        <w:t>periods before accessing the next period worklist.</w:t>
      </w:r>
    </w:p>
    <w:p w14:paraId="76EFF26B" w14:textId="77777777" w:rsidR="007229C2" w:rsidRPr="00C55F2E" w:rsidRDefault="007229C2" w:rsidP="00860209">
      <w:pPr>
        <w:spacing w:line="247" w:lineRule="auto"/>
        <w:ind w:left="-6" w:hanging="11"/>
      </w:pPr>
      <w:r w:rsidRPr="00C55F2E">
        <w:t xml:space="preserve"> </w:t>
      </w:r>
    </w:p>
    <w:p w14:paraId="17580CAA" w14:textId="489B9723" w:rsidR="007229C2" w:rsidRPr="00C55F2E" w:rsidRDefault="007229C2" w:rsidP="00860209">
      <w:pPr>
        <w:spacing w:line="247" w:lineRule="auto"/>
        <w:ind w:left="-6" w:hanging="11"/>
        <w:jc w:val="both"/>
      </w:pPr>
      <w:r w:rsidRPr="00C55F2E">
        <w:t xml:space="preserve">You should submit attendance confirmations as soon as possible, after applicable cooling off periods, but only when students have active and ongoing engagement with the activities and learning opportunities on a </w:t>
      </w:r>
      <w:r w:rsidR="008964E9" w:rsidRPr="00C55F2E">
        <w:t xml:space="preserve">module or </w:t>
      </w:r>
      <w:r w:rsidRPr="00C55F2E">
        <w:t xml:space="preserve">course. This allows us to release payments on behalf of students. </w:t>
      </w:r>
    </w:p>
    <w:p w14:paraId="27EA948D" w14:textId="77777777" w:rsidR="007229C2" w:rsidRPr="00C55F2E" w:rsidRDefault="007229C2" w:rsidP="00860209">
      <w:pPr>
        <w:spacing w:line="247" w:lineRule="auto"/>
        <w:ind w:left="-6" w:hanging="11"/>
      </w:pPr>
      <w:r w:rsidRPr="00C55F2E">
        <w:t xml:space="preserve"> </w:t>
      </w:r>
    </w:p>
    <w:p w14:paraId="6D51A0F0" w14:textId="0D90CDDF" w:rsidR="007229C2" w:rsidRPr="00C55F2E" w:rsidRDefault="007229C2" w:rsidP="00860209">
      <w:pPr>
        <w:spacing w:line="247" w:lineRule="auto"/>
        <w:ind w:left="-6" w:hanging="11"/>
        <w:jc w:val="both"/>
      </w:pPr>
      <w:r w:rsidRPr="00C55F2E">
        <w:t xml:space="preserve">You should only submit positive fee-releasing attendance confirmations if a student’s SIS profile is showing the correct information including </w:t>
      </w:r>
      <w:r w:rsidR="00B901E3" w:rsidRPr="00C55F2E">
        <w:t xml:space="preserve">module, </w:t>
      </w:r>
      <w:r w:rsidRPr="00C55F2E">
        <w:t xml:space="preserve">course, fee and mode of study. If this is not the case, you should submit a negative attendance code and relevant CoC to correct the information before you can submit a positive fee-releasing attendance code. </w:t>
      </w:r>
    </w:p>
    <w:p w14:paraId="6F980E79" w14:textId="77777777" w:rsidR="007229C2" w:rsidRPr="00C55F2E" w:rsidRDefault="007229C2" w:rsidP="00860209">
      <w:pPr>
        <w:spacing w:line="247" w:lineRule="auto"/>
        <w:ind w:left="-6" w:hanging="11"/>
      </w:pPr>
      <w:r w:rsidRPr="00C55F2E">
        <w:t xml:space="preserve"> </w:t>
      </w:r>
    </w:p>
    <w:p w14:paraId="646CD303" w14:textId="3BA55BAD" w:rsidR="00EE4A5C" w:rsidRPr="00C55F2E" w:rsidRDefault="00EE4A5C" w:rsidP="000F402B">
      <w:pPr>
        <w:spacing w:line="247" w:lineRule="auto"/>
        <w:ind w:left="-6" w:hanging="11"/>
        <w:jc w:val="both"/>
      </w:pPr>
      <w:r w:rsidRPr="000F402B">
        <w:t>The cost per-credit model under LLE allows providers to charge students in a way which closer reflects the learning undertaken by the student. In instances of withdrawal, SLC expect providers to be best placed to determine the number of chargeable credits that they believe the student is liable for.</w:t>
      </w:r>
    </w:p>
    <w:p w14:paraId="6DD0A3DF" w14:textId="77777777" w:rsidR="001B6125" w:rsidRPr="00C55F2E" w:rsidRDefault="001B6125" w:rsidP="00860209">
      <w:pPr>
        <w:spacing w:line="247" w:lineRule="auto"/>
        <w:ind w:left="-6" w:hanging="11"/>
        <w:jc w:val="both"/>
      </w:pPr>
    </w:p>
    <w:p w14:paraId="23E8D7C5" w14:textId="2E036E66" w:rsidR="004306DF" w:rsidRPr="00C55F2E" w:rsidRDefault="001B6125" w:rsidP="00860209">
      <w:pPr>
        <w:spacing w:line="247" w:lineRule="auto"/>
        <w:ind w:left="-6" w:hanging="11"/>
        <w:jc w:val="both"/>
      </w:pPr>
      <w:r w:rsidRPr="00C55F2E">
        <w:t xml:space="preserve">You may determine that tuition fees should be waived entirely (note, this is highly unlikely in a scenario where it can be </w:t>
      </w:r>
      <w:r w:rsidR="004306DF" w:rsidRPr="00C55F2E">
        <w:t>demonstrated</w:t>
      </w:r>
      <w:r w:rsidRPr="00C55F2E">
        <w:t xml:space="preserve"> that the student has </w:t>
      </w:r>
      <w:r w:rsidR="004306DF" w:rsidRPr="00C55F2E">
        <w:t>undertaken</w:t>
      </w:r>
      <w:r w:rsidRPr="00C55F2E">
        <w:t xml:space="preserve"> tangible study). Instead, expected that this may occur in instances of early withdrawal that closely follow the completion of the cooling-off period.</w:t>
      </w:r>
    </w:p>
    <w:p w14:paraId="62648579" w14:textId="066D231E" w:rsidR="007229C2" w:rsidRPr="00C55F2E" w:rsidRDefault="001B6125" w:rsidP="00860209">
      <w:pPr>
        <w:spacing w:line="247" w:lineRule="auto"/>
        <w:ind w:left="-6" w:hanging="11"/>
      </w:pPr>
      <w:r w:rsidRPr="00C55F2E" w:rsidDel="000B5D48">
        <w:t xml:space="preserve"> </w:t>
      </w:r>
      <w:r w:rsidR="007229C2" w:rsidRPr="00C55F2E">
        <w:t xml:space="preserve"> </w:t>
      </w:r>
    </w:p>
    <w:p w14:paraId="4561684B" w14:textId="15368498" w:rsidR="007229C2" w:rsidRPr="00C55F2E" w:rsidRDefault="007229C2" w:rsidP="00860209">
      <w:pPr>
        <w:spacing w:line="247" w:lineRule="auto"/>
        <w:ind w:left="-6" w:hanging="11"/>
        <w:jc w:val="both"/>
      </w:pPr>
      <w:r w:rsidRPr="00C55F2E">
        <w:t xml:space="preserve">As with the registration process, you need to ensure that there is a process in place for independent validation of attendance confirmations. At least 2 members of each </w:t>
      </w:r>
      <w:r w:rsidR="00F75EC6" w:rsidRPr="00C55F2E">
        <w:t xml:space="preserve">HEP </w:t>
      </w:r>
      <w:r w:rsidRPr="00C55F2E">
        <w:t xml:space="preserve">should be involved in the process for assurance purposes. You can achieve this </w:t>
      </w:r>
      <w:r w:rsidR="006D2C04" w:rsidRPr="00C55F2E">
        <w:t>by ensuring</w:t>
      </w:r>
      <w:r w:rsidRPr="00C55F2E">
        <w:t xml:space="preserve">: </w:t>
      </w:r>
    </w:p>
    <w:p w14:paraId="44EAF052" w14:textId="77777777" w:rsidR="007229C2" w:rsidRPr="00C55F2E" w:rsidRDefault="007229C2" w:rsidP="00860209">
      <w:pPr>
        <w:spacing w:line="247" w:lineRule="auto"/>
        <w:ind w:left="-6" w:hanging="11"/>
      </w:pPr>
      <w:r w:rsidRPr="00C55F2E">
        <w:t xml:space="preserve"> </w:t>
      </w:r>
    </w:p>
    <w:p w14:paraId="0ABED5AB" w14:textId="164737F4" w:rsidR="007229C2" w:rsidRPr="00C55F2E" w:rsidRDefault="007229C2" w:rsidP="00437EA2">
      <w:pPr>
        <w:numPr>
          <w:ilvl w:val="0"/>
          <w:numId w:val="9"/>
        </w:numPr>
        <w:spacing w:line="247" w:lineRule="auto"/>
        <w:ind w:left="738" w:hanging="454"/>
        <w:jc w:val="both"/>
      </w:pPr>
      <w:r w:rsidRPr="00C55F2E">
        <w:t xml:space="preserve">where confirmations are system generated, the process managers are responsible for assurance of accuracy and security of the involved systems and processes for example, where Admissions create the entry in the student record system after accepting a student, and Registry use their internal system and SIS to confirm attendance, the process managers would be an Admissions Manager and Registry Manager </w:t>
      </w:r>
    </w:p>
    <w:p w14:paraId="5617C887" w14:textId="77777777" w:rsidR="007229C2" w:rsidRPr="00C55F2E" w:rsidRDefault="007229C2" w:rsidP="00860209">
      <w:pPr>
        <w:spacing w:line="247" w:lineRule="auto"/>
        <w:ind w:left="-6" w:hanging="11"/>
      </w:pPr>
      <w:r w:rsidRPr="00C55F2E">
        <w:t xml:space="preserve"> </w:t>
      </w:r>
    </w:p>
    <w:p w14:paraId="6974C0DA" w14:textId="77777777" w:rsidR="007229C2" w:rsidRPr="00C55F2E" w:rsidRDefault="007229C2" w:rsidP="00860209">
      <w:pPr>
        <w:spacing w:line="247" w:lineRule="auto"/>
        <w:ind w:left="-6" w:hanging="11"/>
      </w:pPr>
      <w:r w:rsidRPr="00C55F2E">
        <w:t xml:space="preserve">You should regularly review and update the Attendance Worklist. </w:t>
      </w:r>
    </w:p>
    <w:p w14:paraId="3F1754EB" w14:textId="77777777" w:rsidR="007229C2" w:rsidRPr="00C55F2E" w:rsidRDefault="007229C2" w:rsidP="00860209">
      <w:pPr>
        <w:spacing w:line="247" w:lineRule="auto"/>
        <w:ind w:left="-6" w:hanging="11"/>
      </w:pPr>
      <w:r w:rsidRPr="00C55F2E">
        <w:t xml:space="preserve"> </w:t>
      </w:r>
    </w:p>
    <w:p w14:paraId="7D21A085" w14:textId="6672EDE5" w:rsidR="007229C2" w:rsidRPr="00C55F2E" w:rsidRDefault="007229C2" w:rsidP="00860209">
      <w:pPr>
        <w:spacing w:line="247" w:lineRule="auto"/>
        <w:ind w:left="-6" w:hanging="11"/>
        <w:jc w:val="both"/>
      </w:pPr>
      <w:r w:rsidRPr="00C55F2E">
        <w:t>To ensure we can pay fees at the earliest opportunity, you should submit attendance confirmations by close of business on the Thursday before the main payment dates in October, February, May and July. If you have not confirmed attendance by the deadlines for the main payment dates, we will make BACS payments each Wednesday</w:t>
      </w:r>
      <w:r w:rsidR="00FA7D1D" w:rsidRPr="00C55F2E">
        <w:t xml:space="preserve"> following receipt of the attendance confirmation </w:t>
      </w:r>
      <w:r w:rsidR="001D6423" w:rsidRPr="00C55F2E">
        <w:t>by close of business on the preceding Thursday</w:t>
      </w:r>
      <w:r w:rsidRPr="00C55F2E">
        <w:t xml:space="preserve">. </w:t>
      </w:r>
    </w:p>
    <w:p w14:paraId="0E1816C4" w14:textId="77777777" w:rsidR="007229C2" w:rsidRPr="00C55F2E" w:rsidRDefault="007229C2" w:rsidP="00860209">
      <w:pPr>
        <w:spacing w:line="247" w:lineRule="auto"/>
        <w:ind w:left="-6" w:hanging="11"/>
      </w:pPr>
      <w:r w:rsidRPr="00C55F2E">
        <w:t xml:space="preserve"> </w:t>
      </w:r>
    </w:p>
    <w:p w14:paraId="4D2E07D6" w14:textId="5EA63DFD" w:rsidR="007229C2" w:rsidRPr="00C55F2E" w:rsidRDefault="007229C2" w:rsidP="00860209">
      <w:pPr>
        <w:spacing w:line="247" w:lineRule="auto"/>
        <w:ind w:left="-6" w:hanging="11"/>
        <w:jc w:val="both"/>
      </w:pPr>
      <w:r w:rsidRPr="00C55F2E">
        <w:t xml:space="preserve">If you have submitted a negative attendance code, apart from a D ‘never attended’ code, you should follow up promptly with an appropriate CoC. This is automatically created on the CoC </w:t>
      </w:r>
      <w:r w:rsidR="005A204C" w:rsidRPr="00C55F2E">
        <w:t>Worklist,</w:t>
      </w:r>
      <w:r w:rsidRPr="00C55F2E">
        <w:t xml:space="preserve"> but you need to submit the CoC separately.  </w:t>
      </w:r>
    </w:p>
    <w:p w14:paraId="79EF8424" w14:textId="77777777" w:rsidR="007229C2" w:rsidRPr="00C55F2E" w:rsidRDefault="007229C2" w:rsidP="00860209">
      <w:pPr>
        <w:spacing w:line="247" w:lineRule="auto"/>
        <w:ind w:left="-6" w:hanging="11"/>
      </w:pPr>
      <w:r w:rsidRPr="00C55F2E">
        <w:t xml:space="preserve"> </w:t>
      </w:r>
    </w:p>
    <w:p w14:paraId="74AD4C64" w14:textId="453A3753" w:rsidR="007229C2" w:rsidRPr="00C55F2E" w:rsidRDefault="001C6FAC" w:rsidP="00860209">
      <w:pPr>
        <w:spacing w:line="247" w:lineRule="auto"/>
        <w:ind w:left="-6" w:hanging="11"/>
        <w:jc w:val="both"/>
      </w:pPr>
      <w:r w:rsidRPr="00C55F2E">
        <w:lastRenderedPageBreak/>
        <w:t>Where required, y</w:t>
      </w:r>
      <w:r w:rsidR="007229C2" w:rsidRPr="00C55F2E">
        <w:t xml:space="preserve">ou must complete attendance confirmations which will result in a clawback procedure. </w:t>
      </w:r>
    </w:p>
    <w:p w14:paraId="37588726" w14:textId="77777777" w:rsidR="007229C2" w:rsidRPr="00C55F2E" w:rsidRDefault="007229C2" w:rsidP="00860209">
      <w:pPr>
        <w:spacing w:line="247" w:lineRule="auto"/>
        <w:ind w:left="-6" w:hanging="11"/>
      </w:pPr>
      <w:r w:rsidRPr="00C55F2E">
        <w:t xml:space="preserve"> </w:t>
      </w:r>
    </w:p>
    <w:p w14:paraId="5A458928" w14:textId="38AD36BF" w:rsidR="007229C2" w:rsidRPr="00C55F2E" w:rsidRDefault="007229C2" w:rsidP="00860209">
      <w:pPr>
        <w:spacing w:line="247" w:lineRule="auto"/>
        <w:ind w:left="-6" w:hanging="11"/>
        <w:jc w:val="both"/>
      </w:pPr>
      <w:r w:rsidRPr="00C55F2E">
        <w:t xml:space="preserve">You should normally wait for 4 weeks after the </w:t>
      </w:r>
      <w:r w:rsidR="00E21AA8" w:rsidRPr="00C55F2E">
        <w:t xml:space="preserve">module or course </w:t>
      </w:r>
      <w:r w:rsidRPr="00C55F2E">
        <w:t xml:space="preserve">start date to submit ‘never attended’ codes (D codes) to give students time to register at another university or college if they have chosen to attend one. However, if you know the student has decided not to pursue or return to higher education you should submit D codes as soon as possible. </w:t>
      </w:r>
    </w:p>
    <w:p w14:paraId="38ABA0E5" w14:textId="77777777" w:rsidR="007229C2" w:rsidRPr="00C55F2E" w:rsidRDefault="007229C2" w:rsidP="00860209">
      <w:pPr>
        <w:spacing w:line="247" w:lineRule="auto"/>
        <w:ind w:left="-6" w:hanging="11"/>
        <w:jc w:val="both"/>
      </w:pPr>
      <w:r w:rsidRPr="00C55F2E">
        <w:t xml:space="preserve"> </w:t>
      </w:r>
    </w:p>
    <w:p w14:paraId="2B48311B" w14:textId="77777777" w:rsidR="007229C2" w:rsidRPr="00C55F2E" w:rsidRDefault="007229C2" w:rsidP="00860209">
      <w:pPr>
        <w:spacing w:line="247" w:lineRule="auto"/>
        <w:ind w:left="-6" w:hanging="11"/>
        <w:jc w:val="both"/>
      </w:pPr>
      <w:r w:rsidRPr="00C55F2E">
        <w:t xml:space="preserve">You must accept our decision on whether a student is defined as a home or overseas student. </w:t>
      </w:r>
    </w:p>
    <w:p w14:paraId="6BA88C99" w14:textId="77777777" w:rsidR="007229C2" w:rsidRPr="00C55F2E" w:rsidRDefault="007229C2" w:rsidP="00437EA2">
      <w:pPr>
        <w:pStyle w:val="Heading2"/>
        <w:spacing w:before="240" w:after="240" w:line="247" w:lineRule="auto"/>
        <w:ind w:left="-6" w:hanging="11"/>
        <w:rPr>
          <w:rFonts w:ascii="Calibri" w:hAnsi="Calibri" w:cs="Calibri"/>
        </w:rPr>
      </w:pPr>
      <w:bookmarkStart w:id="8" w:name="_Toc225775741"/>
      <w:r w:rsidRPr="00C55F2E">
        <w:rPr>
          <w:rFonts w:ascii="Calibri" w:hAnsi="Calibri" w:cs="Calibri"/>
        </w:rPr>
        <w:t>Change of Circumstance</w:t>
      </w:r>
      <w:bookmarkEnd w:id="8"/>
      <w:r w:rsidRPr="00C55F2E">
        <w:rPr>
          <w:rFonts w:ascii="Calibri" w:hAnsi="Calibri" w:cs="Calibri"/>
        </w:rPr>
        <w:t xml:space="preserve"> </w:t>
      </w:r>
    </w:p>
    <w:p w14:paraId="339CDDDC" w14:textId="77777777" w:rsidR="007229C2" w:rsidRPr="00C55F2E" w:rsidRDefault="007229C2" w:rsidP="00860209">
      <w:pPr>
        <w:spacing w:line="247" w:lineRule="auto"/>
        <w:ind w:left="-6" w:hanging="11"/>
        <w:jc w:val="both"/>
      </w:pPr>
      <w:r w:rsidRPr="00C55F2E">
        <w:t xml:space="preserve">You should regularly review and update the Change of Circumstance Worklist. </w:t>
      </w:r>
    </w:p>
    <w:p w14:paraId="23F80675" w14:textId="77777777" w:rsidR="007229C2" w:rsidRPr="00C55F2E" w:rsidRDefault="007229C2" w:rsidP="00860209">
      <w:pPr>
        <w:spacing w:line="247" w:lineRule="auto"/>
        <w:ind w:left="-6" w:hanging="11"/>
      </w:pPr>
      <w:r w:rsidRPr="00C55F2E">
        <w:t xml:space="preserve"> </w:t>
      </w:r>
    </w:p>
    <w:p w14:paraId="7D1C7F8E" w14:textId="77777777" w:rsidR="007229C2" w:rsidRPr="00C55F2E" w:rsidRDefault="007229C2" w:rsidP="00860209">
      <w:pPr>
        <w:spacing w:line="247" w:lineRule="auto"/>
        <w:ind w:left="-6" w:hanging="11"/>
        <w:jc w:val="both"/>
      </w:pPr>
      <w:r w:rsidRPr="00C55F2E">
        <w:t xml:space="preserve">If the student information held on SIS is not correct you must submit a Change of Circumstance notification (CoC) as soon as possible. </w:t>
      </w:r>
    </w:p>
    <w:p w14:paraId="49566E9C" w14:textId="77777777" w:rsidR="007229C2" w:rsidRPr="00C55F2E" w:rsidRDefault="007229C2" w:rsidP="00860209">
      <w:pPr>
        <w:spacing w:line="247" w:lineRule="auto"/>
        <w:ind w:left="-6" w:hanging="11"/>
        <w:jc w:val="both"/>
      </w:pPr>
      <w:r w:rsidRPr="00C55F2E">
        <w:t xml:space="preserve"> </w:t>
      </w:r>
    </w:p>
    <w:p w14:paraId="3C9031FB" w14:textId="4563DC75" w:rsidR="001923EA" w:rsidRPr="00C55F2E" w:rsidRDefault="007229C2" w:rsidP="00860209">
      <w:pPr>
        <w:spacing w:line="247" w:lineRule="auto"/>
        <w:ind w:left="-6" w:hanging="11"/>
        <w:jc w:val="both"/>
      </w:pPr>
      <w:r w:rsidRPr="00C55F2E">
        <w:t xml:space="preserve">You should submit a CoC as </w:t>
      </w:r>
      <w:r w:rsidR="00904D59" w:rsidRPr="00C55F2E">
        <w:t>soon as</w:t>
      </w:r>
      <w:r w:rsidRPr="00C55F2E">
        <w:t xml:space="preserve"> you become aware that a student needs a CoC. This ensures that you meet your obligations under </w:t>
      </w:r>
      <w:r w:rsidR="00F81468" w:rsidRPr="00C55F2E">
        <w:t>The Lifelong Learning (Student Support) Regulations 2026</w:t>
      </w:r>
      <w:r w:rsidRPr="00C55F2E">
        <w:t>.</w:t>
      </w:r>
    </w:p>
    <w:p w14:paraId="1FC1974D" w14:textId="77777777" w:rsidR="001923EA" w:rsidRPr="00C55F2E" w:rsidRDefault="001923EA" w:rsidP="00860209">
      <w:pPr>
        <w:spacing w:line="247" w:lineRule="auto"/>
        <w:ind w:left="-6" w:hanging="11"/>
        <w:jc w:val="both"/>
      </w:pPr>
    </w:p>
    <w:p w14:paraId="11CBE6DD" w14:textId="77777777" w:rsidR="003268A9" w:rsidRPr="00C55F2E" w:rsidRDefault="00572761" w:rsidP="00860209">
      <w:pPr>
        <w:spacing w:line="247" w:lineRule="auto"/>
        <w:ind w:left="-6" w:hanging="11"/>
        <w:jc w:val="both"/>
      </w:pPr>
      <w:r w:rsidRPr="00C55F2E">
        <w:t xml:space="preserve">When submitting a CoC </w:t>
      </w:r>
      <w:r w:rsidR="00FF050B" w:rsidRPr="00C55F2E">
        <w:t>either</w:t>
      </w:r>
      <w:r w:rsidRPr="00C55F2E">
        <w:t xml:space="preserve"> manually via the </w:t>
      </w:r>
      <w:r w:rsidR="00FF050B" w:rsidRPr="00C55F2E">
        <w:t xml:space="preserve">user interface </w:t>
      </w:r>
      <w:r w:rsidR="00CE3016" w:rsidRPr="00C55F2E">
        <w:t xml:space="preserve">in SIS </w:t>
      </w:r>
      <w:r w:rsidRPr="00C55F2E">
        <w:t xml:space="preserve">or </w:t>
      </w:r>
      <w:r w:rsidR="00173DAF" w:rsidRPr="00C55F2E">
        <w:t>as part of a bulk upload, you will be required to note the number of credits and their associated credit value.</w:t>
      </w:r>
    </w:p>
    <w:p w14:paraId="495A50BE" w14:textId="3805BCEC" w:rsidR="003268A9" w:rsidRPr="00C55F2E" w:rsidRDefault="003268A9" w:rsidP="00860209">
      <w:pPr>
        <w:spacing w:line="247" w:lineRule="auto"/>
        <w:ind w:left="-6" w:hanging="11"/>
        <w:jc w:val="both"/>
      </w:pPr>
      <w:r w:rsidRPr="00C55F2E">
        <w:t>The cost per-credit model under LLE allows providers to charge students in a way which closer reflects the learning undertaken by the student. For example, in instances of withdrawal, SLC expect providers to be best placed to determine the number of chargeable credits that they believe the student is liable for.</w:t>
      </w:r>
    </w:p>
    <w:p w14:paraId="755BA5EC" w14:textId="77777777" w:rsidR="006D1CAC" w:rsidRPr="00C55F2E" w:rsidRDefault="006D1CAC" w:rsidP="00860209">
      <w:pPr>
        <w:spacing w:line="247" w:lineRule="auto"/>
        <w:ind w:left="-6" w:hanging="11"/>
        <w:jc w:val="both"/>
      </w:pPr>
    </w:p>
    <w:p w14:paraId="177DAA0D" w14:textId="3326C44D" w:rsidR="00874162" w:rsidRPr="00C55F2E" w:rsidRDefault="002C7D4C" w:rsidP="00860209">
      <w:pPr>
        <w:spacing w:line="247" w:lineRule="auto"/>
        <w:ind w:left="-6" w:hanging="11"/>
        <w:jc w:val="both"/>
      </w:pPr>
      <w:r w:rsidRPr="00C55F2E">
        <w:t>Once a CoC has been fully processed and the application reassessed, the system will automatically confirm attendance where necessary to apply adjustments and recover fees. However, if the reassessment entitles you to additional fees, you must submit an attendance confirmation yourself.</w:t>
      </w:r>
    </w:p>
    <w:p w14:paraId="050F940F" w14:textId="62D0314B" w:rsidR="007229C2" w:rsidRPr="00C55F2E" w:rsidRDefault="007229C2" w:rsidP="00860209">
      <w:pPr>
        <w:spacing w:line="247" w:lineRule="auto"/>
        <w:ind w:left="-6" w:hanging="11"/>
      </w:pPr>
    </w:p>
    <w:p w14:paraId="41AFA458" w14:textId="24BE2195" w:rsidR="007229C2" w:rsidRPr="00C55F2E" w:rsidRDefault="007229C2" w:rsidP="00860209">
      <w:pPr>
        <w:spacing w:line="247" w:lineRule="auto"/>
        <w:ind w:left="-6" w:hanging="11"/>
        <w:jc w:val="both"/>
      </w:pPr>
      <w:r w:rsidRPr="00C55F2E">
        <w:t xml:space="preserve">Please raise any errors that cannot be rectified with the Partners Support Desk on 0300 100 0642. </w:t>
      </w:r>
    </w:p>
    <w:p w14:paraId="0A4093D9" w14:textId="77777777" w:rsidR="007229C2" w:rsidRPr="00C55F2E" w:rsidRDefault="007229C2" w:rsidP="00860209">
      <w:pPr>
        <w:spacing w:line="247" w:lineRule="auto"/>
        <w:ind w:left="-6" w:hanging="11"/>
      </w:pPr>
      <w:r w:rsidRPr="00C55F2E">
        <w:t xml:space="preserve"> </w:t>
      </w:r>
    </w:p>
    <w:p w14:paraId="13B15DAE" w14:textId="77777777" w:rsidR="007229C2" w:rsidRPr="00437EA2" w:rsidRDefault="007229C2" w:rsidP="00860209">
      <w:pPr>
        <w:spacing w:line="247" w:lineRule="auto"/>
        <w:ind w:left="-6" w:hanging="11"/>
        <w:rPr>
          <w:sz w:val="28"/>
          <w:szCs w:val="28"/>
        </w:rPr>
      </w:pPr>
      <w:r w:rsidRPr="00437EA2">
        <w:rPr>
          <w:b/>
          <w:szCs w:val="28"/>
        </w:rPr>
        <w:t xml:space="preserve">Withdrawal CoC  </w:t>
      </w:r>
    </w:p>
    <w:p w14:paraId="1663899F" w14:textId="77777777" w:rsidR="007229C2" w:rsidRPr="00C55F2E" w:rsidRDefault="007229C2" w:rsidP="00860209">
      <w:pPr>
        <w:spacing w:line="247" w:lineRule="auto"/>
        <w:ind w:left="-6" w:hanging="11"/>
      </w:pPr>
      <w:r w:rsidRPr="00C55F2E">
        <w:t xml:space="preserve"> </w:t>
      </w:r>
    </w:p>
    <w:p w14:paraId="03A34F17" w14:textId="32C25B03" w:rsidR="007229C2" w:rsidRPr="00C55F2E" w:rsidRDefault="007229C2" w:rsidP="00860209">
      <w:pPr>
        <w:spacing w:line="247" w:lineRule="auto"/>
        <w:ind w:left="-6" w:hanging="11"/>
        <w:jc w:val="both"/>
      </w:pPr>
      <w:r w:rsidRPr="00C55F2E">
        <w:t>A Withdrawal CoC terminates a student’s period of student finance eligibility</w:t>
      </w:r>
      <w:r w:rsidR="00646C63" w:rsidRPr="00C55F2E">
        <w:t xml:space="preserve"> for either a module or course</w:t>
      </w:r>
      <w:r w:rsidRPr="00C55F2E">
        <w:t xml:space="preserve">. We will reassess their student support and tuition fee loan when we have processed a CoC. </w:t>
      </w:r>
    </w:p>
    <w:p w14:paraId="2B1DCCEB" w14:textId="77777777" w:rsidR="007229C2" w:rsidRPr="00C55F2E" w:rsidRDefault="007229C2" w:rsidP="00860209">
      <w:pPr>
        <w:spacing w:line="247" w:lineRule="auto"/>
        <w:ind w:left="-6" w:hanging="11"/>
        <w:jc w:val="both"/>
      </w:pPr>
      <w:r w:rsidRPr="00C55F2E">
        <w:t xml:space="preserve"> </w:t>
      </w:r>
    </w:p>
    <w:p w14:paraId="314B299D" w14:textId="2387D897" w:rsidR="007229C2" w:rsidRPr="00C55F2E" w:rsidRDefault="007229C2" w:rsidP="00860209">
      <w:pPr>
        <w:spacing w:line="247" w:lineRule="auto"/>
        <w:ind w:left="-6" w:hanging="11"/>
        <w:jc w:val="both"/>
      </w:pPr>
      <w:r w:rsidRPr="00C55F2E">
        <w:t>If a student is to be charged less than the full fee for their period of study, you need to correct this information with the Withdrawal CoC</w:t>
      </w:r>
      <w:r w:rsidR="000801C9" w:rsidRPr="00C55F2E">
        <w:t>, including the number of credits</w:t>
      </w:r>
      <w:r w:rsidR="009157C1" w:rsidRPr="00C55F2E">
        <w:t xml:space="preserve"> being charged</w:t>
      </w:r>
      <w:r w:rsidRPr="00C55F2E">
        <w:t xml:space="preserve">.  </w:t>
      </w:r>
    </w:p>
    <w:p w14:paraId="352A43EC" w14:textId="65F3CCFE" w:rsidR="007229C2" w:rsidRPr="00C55F2E" w:rsidRDefault="007229C2" w:rsidP="00860209">
      <w:pPr>
        <w:spacing w:line="247" w:lineRule="auto"/>
        <w:ind w:left="-6" w:hanging="11"/>
        <w:jc w:val="both"/>
      </w:pPr>
    </w:p>
    <w:p w14:paraId="317C9013" w14:textId="75E1A29B" w:rsidR="007229C2" w:rsidRPr="00C55F2E" w:rsidRDefault="007229C2" w:rsidP="00860209">
      <w:pPr>
        <w:spacing w:line="247" w:lineRule="auto"/>
        <w:ind w:left="-6" w:hanging="11"/>
        <w:jc w:val="both"/>
      </w:pPr>
      <w:r w:rsidRPr="00C55F2E">
        <w:t xml:space="preserve">You should submit Withdrawal CoCs as soon as possible once the withdrawal decision has been made. This will minimise </w:t>
      </w:r>
      <w:r w:rsidR="00FE43F9" w:rsidRPr="00C55F2E">
        <w:t>any</w:t>
      </w:r>
      <w:r w:rsidRPr="00C55F2E">
        <w:t xml:space="preserve"> overpayment we need to recover from </w:t>
      </w:r>
      <w:r w:rsidR="00FE43F9" w:rsidRPr="00C55F2E">
        <w:t xml:space="preserve">you or </w:t>
      </w:r>
      <w:r w:rsidRPr="00C55F2E">
        <w:t xml:space="preserve">the students, so that they enter repayment at the right time, </w:t>
      </w:r>
      <w:proofErr w:type="gramStart"/>
      <w:r w:rsidRPr="00C55F2E">
        <w:t>and also</w:t>
      </w:r>
      <w:proofErr w:type="gramEnd"/>
      <w:r w:rsidRPr="00C55F2E">
        <w:t xml:space="preserve"> that their online accounts are up to date. </w:t>
      </w:r>
    </w:p>
    <w:p w14:paraId="12AFEC7E" w14:textId="77777777" w:rsidR="007229C2" w:rsidRPr="00C55F2E" w:rsidRDefault="007229C2" w:rsidP="00860209">
      <w:pPr>
        <w:spacing w:line="247" w:lineRule="auto"/>
        <w:ind w:left="-6" w:hanging="11"/>
        <w:jc w:val="both"/>
      </w:pPr>
      <w:r w:rsidRPr="00C55F2E">
        <w:t xml:space="preserve"> </w:t>
      </w:r>
    </w:p>
    <w:p w14:paraId="02104B1C" w14:textId="6C28163B" w:rsidR="007229C2" w:rsidRPr="00C55F2E" w:rsidRDefault="007229C2" w:rsidP="00860209">
      <w:pPr>
        <w:spacing w:line="247" w:lineRule="auto"/>
        <w:ind w:left="-6" w:hanging="11"/>
        <w:jc w:val="both"/>
      </w:pPr>
      <w:r w:rsidRPr="00C55F2E">
        <w:lastRenderedPageBreak/>
        <w:t xml:space="preserve">Our understanding is that all withdrawal decisions, and their effective dates, must be discussed with and notified to the student, and that you confirm any reduction in the tuition fee charge. Ultimately, you as the provider define the withdrawal effective date, based on when you determine the student ceased to use the education services you provided. We will rely on this date when reassessing the student’s entitlement.  </w:t>
      </w:r>
    </w:p>
    <w:p w14:paraId="461E2087" w14:textId="77777777" w:rsidR="007229C2" w:rsidRPr="00C55F2E" w:rsidRDefault="007229C2" w:rsidP="00860209">
      <w:pPr>
        <w:spacing w:line="247" w:lineRule="auto"/>
        <w:ind w:left="-6" w:hanging="11"/>
        <w:jc w:val="both"/>
      </w:pPr>
      <w:r w:rsidRPr="00C55F2E">
        <w:t xml:space="preserve"> </w:t>
      </w:r>
    </w:p>
    <w:p w14:paraId="0CD2AD18" w14:textId="77777777" w:rsidR="007229C2" w:rsidRPr="00C55F2E" w:rsidRDefault="007229C2" w:rsidP="00860209">
      <w:pPr>
        <w:spacing w:line="247" w:lineRule="auto"/>
        <w:ind w:left="-6" w:hanging="11"/>
        <w:jc w:val="both"/>
      </w:pPr>
      <w:r w:rsidRPr="00C55F2E">
        <w:t xml:space="preserve">If the student disputes the withdrawal dates you submit, and this impacts the reassessed student finance entitlement, we may ask you to provide corroborative statements or evidence of the point at which the student’s education services (learning, teaching, access to facilities and assessments) ended. </w:t>
      </w:r>
    </w:p>
    <w:p w14:paraId="0947383B" w14:textId="77777777" w:rsidR="007229C2" w:rsidRPr="00C55F2E" w:rsidRDefault="007229C2" w:rsidP="00860209">
      <w:pPr>
        <w:spacing w:line="247" w:lineRule="auto"/>
        <w:ind w:left="-6" w:hanging="11"/>
      </w:pPr>
      <w:r w:rsidRPr="00C55F2E">
        <w:t xml:space="preserve"> </w:t>
      </w:r>
    </w:p>
    <w:p w14:paraId="0C44DFFE" w14:textId="40EE5F35" w:rsidR="007229C2" w:rsidRPr="00437EA2" w:rsidRDefault="007229C2" w:rsidP="00860209">
      <w:pPr>
        <w:spacing w:line="247" w:lineRule="auto"/>
        <w:ind w:left="-6" w:hanging="11"/>
        <w:rPr>
          <w:b/>
        </w:rPr>
      </w:pPr>
      <w:r w:rsidRPr="00437EA2">
        <w:rPr>
          <w:b/>
        </w:rPr>
        <w:t>Transfer CoC</w:t>
      </w:r>
    </w:p>
    <w:p w14:paraId="5FAFC487" w14:textId="77777777" w:rsidR="005E48A7" w:rsidRPr="00C55F2E" w:rsidRDefault="005E48A7" w:rsidP="00860209">
      <w:pPr>
        <w:spacing w:line="247" w:lineRule="auto"/>
        <w:ind w:left="-6" w:hanging="11"/>
      </w:pPr>
    </w:p>
    <w:p w14:paraId="5F8D9914" w14:textId="4142FB06" w:rsidR="007229C2" w:rsidRPr="00C55F2E" w:rsidRDefault="007229C2" w:rsidP="00860209">
      <w:pPr>
        <w:spacing w:line="247" w:lineRule="auto"/>
        <w:ind w:left="-6" w:hanging="11"/>
        <w:jc w:val="both"/>
      </w:pPr>
      <w:r w:rsidRPr="00C55F2E">
        <w:t xml:space="preserve">If a student transfers to a new </w:t>
      </w:r>
      <w:r w:rsidR="007B0716" w:rsidRPr="00C55F2E">
        <w:t>HEP</w:t>
      </w:r>
      <w:r w:rsidR="00EE6296" w:rsidRPr="00C55F2E">
        <w:t xml:space="preserve">, </w:t>
      </w:r>
      <w:r w:rsidR="00C6556E" w:rsidRPr="00C55F2E">
        <w:t>t</w:t>
      </w:r>
      <w:r w:rsidR="005A6BE8" w:rsidRPr="00C55F2E">
        <w:t xml:space="preserve">he provider who the student is transferring to, should indicate the number of credits </w:t>
      </w:r>
      <w:r w:rsidR="00BD5FDA" w:rsidRPr="00C55F2E">
        <w:t>and</w:t>
      </w:r>
      <w:r w:rsidR="00F3535B" w:rsidRPr="00C55F2E">
        <w:t xml:space="preserve"> </w:t>
      </w:r>
      <w:r w:rsidR="00BD5FDA" w:rsidRPr="00C55F2E">
        <w:t xml:space="preserve">credit </w:t>
      </w:r>
      <w:r w:rsidR="00F3535B" w:rsidRPr="00C55F2E">
        <w:t>value</w:t>
      </w:r>
      <w:r w:rsidR="00BD5FDA" w:rsidRPr="00C55F2E">
        <w:t xml:space="preserve"> of the course</w:t>
      </w:r>
      <w:r w:rsidR="00C6556E" w:rsidRPr="00C55F2E">
        <w:t xml:space="preserve"> or module they are transferring to</w:t>
      </w:r>
      <w:r w:rsidR="00B73956" w:rsidRPr="00C55F2E">
        <w:t xml:space="preserve">. </w:t>
      </w:r>
      <w:r w:rsidR="006D2C04" w:rsidRPr="00C55F2E">
        <w:t xml:space="preserve">Where the student is transferring from you to another provider, there is an expectation that you will provide the necessary credits and associated credit value. </w:t>
      </w:r>
      <w:r w:rsidR="00B73956" w:rsidRPr="00C55F2E">
        <w:t xml:space="preserve">This will allow the </w:t>
      </w:r>
      <w:r w:rsidR="00F3535B" w:rsidRPr="00C55F2E">
        <w:t>assessment</w:t>
      </w:r>
      <w:r w:rsidR="00B73956" w:rsidRPr="00C55F2E">
        <w:t xml:space="preserve"> of eligibility to be carried out and ensure the student does not exceed the maximum number of </w:t>
      </w:r>
      <w:r w:rsidR="00F3535B" w:rsidRPr="00C55F2E">
        <w:t>credits for the service year.</w:t>
      </w:r>
    </w:p>
    <w:p w14:paraId="02FC7E89" w14:textId="77777777" w:rsidR="007229C2" w:rsidRPr="00C55F2E" w:rsidRDefault="007229C2" w:rsidP="00437EA2">
      <w:pPr>
        <w:pStyle w:val="Heading2"/>
        <w:spacing w:before="240" w:after="240" w:line="247" w:lineRule="auto"/>
        <w:ind w:left="-6" w:hanging="11"/>
        <w:rPr>
          <w:rFonts w:ascii="Calibri" w:hAnsi="Calibri" w:cs="Calibri"/>
        </w:rPr>
      </w:pPr>
      <w:bookmarkStart w:id="9" w:name="_Toc225775742"/>
      <w:r w:rsidRPr="00C55F2E">
        <w:rPr>
          <w:rFonts w:ascii="Calibri" w:hAnsi="Calibri" w:cs="Calibri"/>
        </w:rPr>
        <w:t>Financial reporting</w:t>
      </w:r>
      <w:bookmarkEnd w:id="9"/>
      <w:r w:rsidRPr="00C55F2E">
        <w:rPr>
          <w:rFonts w:ascii="Calibri" w:hAnsi="Calibri" w:cs="Calibri"/>
        </w:rPr>
        <w:t xml:space="preserve"> </w:t>
      </w:r>
    </w:p>
    <w:p w14:paraId="25CE3AFB" w14:textId="645F9916" w:rsidR="007229C2" w:rsidRPr="00C55F2E" w:rsidRDefault="007229C2" w:rsidP="00860209">
      <w:pPr>
        <w:spacing w:line="247" w:lineRule="auto"/>
        <w:ind w:left="-6" w:hanging="11"/>
      </w:pPr>
      <w:r w:rsidRPr="00C55F2E">
        <w:t xml:space="preserve">You should regularly review and export the financial reports available on SIS to ensure that you reconcile all financial transactions between your university or college and us. </w:t>
      </w:r>
    </w:p>
    <w:p w14:paraId="2A334E6A" w14:textId="77777777" w:rsidR="007229C2" w:rsidRPr="00C55F2E" w:rsidRDefault="007229C2" w:rsidP="00437EA2">
      <w:pPr>
        <w:pStyle w:val="Heading1"/>
        <w:spacing w:before="240" w:after="240" w:line="247" w:lineRule="auto"/>
        <w:ind w:left="-6" w:hanging="11"/>
        <w:rPr>
          <w:rFonts w:ascii="Calibri" w:hAnsi="Calibri" w:cs="Calibri"/>
        </w:rPr>
      </w:pPr>
      <w:bookmarkStart w:id="10" w:name="_Toc225775743"/>
      <w:r w:rsidRPr="00C55F2E">
        <w:rPr>
          <w:rFonts w:ascii="Calibri" w:hAnsi="Calibri" w:cs="Calibri"/>
        </w:rPr>
        <w:t>HEP support</w:t>
      </w:r>
      <w:bookmarkEnd w:id="10"/>
      <w:r w:rsidRPr="00C55F2E">
        <w:rPr>
          <w:rFonts w:ascii="Calibri" w:hAnsi="Calibri" w:cs="Calibri"/>
        </w:rPr>
        <w:t xml:space="preserve"> </w:t>
      </w:r>
    </w:p>
    <w:p w14:paraId="6B81E6D3" w14:textId="77777777" w:rsidR="007229C2" w:rsidRPr="00C55F2E" w:rsidRDefault="007229C2" w:rsidP="00437EA2">
      <w:pPr>
        <w:pStyle w:val="Heading2"/>
        <w:spacing w:before="240" w:after="240" w:line="247" w:lineRule="auto"/>
        <w:ind w:left="-6" w:hanging="11"/>
        <w:rPr>
          <w:rFonts w:ascii="Calibri" w:hAnsi="Calibri" w:cs="Calibri"/>
        </w:rPr>
      </w:pPr>
      <w:bookmarkStart w:id="11" w:name="_Toc225775744"/>
      <w:r w:rsidRPr="00C55F2E">
        <w:rPr>
          <w:rFonts w:ascii="Calibri" w:hAnsi="Calibri" w:cs="Calibri"/>
        </w:rPr>
        <w:t>Guidance materials</w:t>
      </w:r>
      <w:bookmarkEnd w:id="11"/>
      <w:r w:rsidRPr="00C55F2E">
        <w:rPr>
          <w:rFonts w:ascii="Calibri" w:hAnsi="Calibri" w:cs="Calibri"/>
        </w:rPr>
        <w:t xml:space="preserve"> </w:t>
      </w:r>
    </w:p>
    <w:p w14:paraId="7F83AEB1" w14:textId="5A45B12D" w:rsidR="007229C2" w:rsidRPr="00C55F2E" w:rsidRDefault="007229C2" w:rsidP="00860209">
      <w:pPr>
        <w:spacing w:line="247" w:lineRule="auto"/>
        <w:ind w:left="-6" w:hanging="11"/>
        <w:jc w:val="both"/>
      </w:pPr>
      <w:r w:rsidRPr="00C55F2E">
        <w:t xml:space="preserve">You can find guidance materials for each service function in the </w:t>
      </w:r>
      <w:hyperlink r:id="rId21">
        <w:r w:rsidRPr="00903195">
          <w:rPr>
            <w:color w:val="auto"/>
            <w:u w:color="0000FF"/>
          </w:rPr>
          <w:t>guidance section of</w:t>
        </w:r>
      </w:hyperlink>
      <w:hyperlink r:id="rId22">
        <w:r w:rsidRPr="00903195">
          <w:rPr>
            <w:color w:val="auto"/>
            <w:u w:color="0000FF"/>
          </w:rPr>
          <w:t xml:space="preserve"> </w:t>
        </w:r>
      </w:hyperlink>
      <w:hyperlink r:id="rId23">
        <w:r w:rsidR="000A7821" w:rsidRPr="00C55F2E">
          <w:rPr>
            <w:color w:val="0000FF"/>
            <w:u w:val="single" w:color="0000FF"/>
          </w:rPr>
          <w:t>HEP Services website</w:t>
        </w:r>
      </w:hyperlink>
      <w:hyperlink r:id="rId24">
        <w:r w:rsidRPr="00C55F2E">
          <w:t>.</w:t>
        </w:r>
      </w:hyperlink>
      <w:r w:rsidRPr="00C55F2E">
        <w:t xml:space="preserve"> </w:t>
      </w:r>
    </w:p>
    <w:p w14:paraId="79D1A605" w14:textId="77777777" w:rsidR="007229C2" w:rsidRPr="00C55F2E" w:rsidRDefault="007229C2" w:rsidP="00860209">
      <w:pPr>
        <w:spacing w:line="247" w:lineRule="auto"/>
        <w:ind w:left="-6" w:hanging="11"/>
      </w:pPr>
      <w:r w:rsidRPr="00C55F2E">
        <w:t xml:space="preserve"> </w:t>
      </w:r>
    </w:p>
    <w:p w14:paraId="7ADB1968" w14:textId="77777777" w:rsidR="007229C2" w:rsidRPr="00C55F2E" w:rsidRDefault="007229C2" w:rsidP="00860209">
      <w:pPr>
        <w:spacing w:line="247" w:lineRule="auto"/>
        <w:ind w:left="-6" w:hanging="11"/>
        <w:jc w:val="both"/>
      </w:pPr>
      <w:r w:rsidRPr="00C55F2E">
        <w:t xml:space="preserve">We will notify you by email when new guidance is available or if there have been significant amendments to current documentation. </w:t>
      </w:r>
    </w:p>
    <w:p w14:paraId="4E8DA87C" w14:textId="77777777" w:rsidR="007229C2" w:rsidRPr="00C55F2E" w:rsidRDefault="007229C2" w:rsidP="00437EA2">
      <w:pPr>
        <w:pStyle w:val="Heading2"/>
        <w:spacing w:before="240" w:after="240" w:line="247" w:lineRule="auto"/>
        <w:ind w:left="-6" w:hanging="11"/>
        <w:rPr>
          <w:rFonts w:ascii="Calibri" w:hAnsi="Calibri" w:cs="Calibri"/>
        </w:rPr>
      </w:pPr>
      <w:bookmarkStart w:id="12" w:name="_Toc225775745"/>
      <w:r w:rsidRPr="00C55F2E">
        <w:rPr>
          <w:rFonts w:ascii="Calibri" w:hAnsi="Calibri" w:cs="Calibri"/>
        </w:rPr>
        <w:t>Partners Support Desk</w:t>
      </w:r>
      <w:bookmarkEnd w:id="12"/>
      <w:r w:rsidRPr="00C55F2E">
        <w:rPr>
          <w:rFonts w:ascii="Calibri" w:hAnsi="Calibri" w:cs="Calibri"/>
        </w:rPr>
        <w:t xml:space="preserve"> </w:t>
      </w:r>
    </w:p>
    <w:p w14:paraId="3DACABEB" w14:textId="77777777" w:rsidR="007229C2" w:rsidRPr="00C55F2E" w:rsidRDefault="007229C2" w:rsidP="00860209">
      <w:pPr>
        <w:spacing w:line="247" w:lineRule="auto"/>
        <w:ind w:left="-6" w:hanging="11"/>
        <w:jc w:val="both"/>
      </w:pPr>
      <w:r w:rsidRPr="00C55F2E">
        <w:t xml:space="preserve">The Partners Support Desk is a dedicated support team to advise universities and colleges on all areas of our provider services. It is the first point of contact for providers. Any system or performance issues should be raised with them for escalation to the Digital teams. </w:t>
      </w:r>
    </w:p>
    <w:p w14:paraId="244C201A" w14:textId="77777777" w:rsidR="007229C2" w:rsidRPr="00C55F2E" w:rsidRDefault="007229C2" w:rsidP="00860209">
      <w:pPr>
        <w:spacing w:line="247" w:lineRule="auto"/>
        <w:ind w:left="-6" w:hanging="11"/>
      </w:pPr>
      <w:r w:rsidRPr="00C55F2E">
        <w:t xml:space="preserve"> </w:t>
      </w:r>
    </w:p>
    <w:p w14:paraId="17785519" w14:textId="77777777" w:rsidR="007229C2" w:rsidRPr="00C55F2E" w:rsidRDefault="007229C2" w:rsidP="00860209">
      <w:pPr>
        <w:spacing w:line="247" w:lineRule="auto"/>
        <w:ind w:left="-6" w:hanging="11"/>
        <w:jc w:val="both"/>
      </w:pPr>
      <w:r w:rsidRPr="00C55F2E">
        <w:t xml:space="preserve">You can contact the Partners Support Desk regarding service enquiries on 0300 100 0642 during the hours below. </w:t>
      </w:r>
    </w:p>
    <w:p w14:paraId="7E6556C7" w14:textId="77777777" w:rsidR="007229C2" w:rsidRPr="00C55F2E" w:rsidRDefault="007229C2" w:rsidP="00860209">
      <w:pPr>
        <w:spacing w:line="247" w:lineRule="auto"/>
        <w:ind w:left="-6" w:hanging="11"/>
      </w:pPr>
      <w:r w:rsidRPr="00C55F2E">
        <w:t xml:space="preserve"> </w:t>
      </w:r>
    </w:p>
    <w:p w14:paraId="10BF0110" w14:textId="2CCF00B7" w:rsidR="007229C2" w:rsidRPr="00C55F2E" w:rsidRDefault="007229C2" w:rsidP="00860209">
      <w:pPr>
        <w:tabs>
          <w:tab w:val="center" w:pos="3071"/>
        </w:tabs>
        <w:spacing w:line="247" w:lineRule="auto"/>
        <w:ind w:left="-6" w:hanging="11"/>
      </w:pPr>
      <w:r w:rsidRPr="00C55F2E">
        <w:t xml:space="preserve">Monday </w:t>
      </w:r>
      <w:r w:rsidR="00751B79">
        <w:t>to</w:t>
      </w:r>
      <w:r w:rsidRPr="00C55F2E">
        <w:t xml:space="preserve"> Friday </w:t>
      </w:r>
      <w:r w:rsidRPr="00C55F2E">
        <w:tab/>
        <w:t xml:space="preserve">9:00 am </w:t>
      </w:r>
      <w:r w:rsidR="00751B79">
        <w:t>to</w:t>
      </w:r>
      <w:r w:rsidRPr="00C55F2E">
        <w:t xml:space="preserve"> 5:00 pm </w:t>
      </w:r>
    </w:p>
    <w:p w14:paraId="0A988487" w14:textId="77777777" w:rsidR="007229C2" w:rsidRPr="00C55F2E" w:rsidRDefault="007229C2" w:rsidP="00860209">
      <w:pPr>
        <w:spacing w:line="247" w:lineRule="auto"/>
        <w:ind w:left="-6" w:hanging="11"/>
      </w:pPr>
      <w:r w:rsidRPr="00C55F2E">
        <w:lastRenderedPageBreak/>
        <w:t xml:space="preserve"> </w:t>
      </w:r>
    </w:p>
    <w:p w14:paraId="24AA8B1D" w14:textId="0A5D372C" w:rsidR="008850E2" w:rsidRPr="00C55F2E" w:rsidRDefault="007229C2" w:rsidP="00860209">
      <w:pPr>
        <w:spacing w:line="247" w:lineRule="auto"/>
        <w:ind w:left="-6" w:hanging="11"/>
        <w:rPr>
          <w:color w:val="0000FF"/>
          <w:u w:val="single" w:color="0000FF"/>
        </w:rPr>
      </w:pPr>
      <w:r w:rsidRPr="00C55F2E">
        <w:t xml:space="preserve">Please send email enquiries to </w:t>
      </w:r>
      <w:hyperlink r:id="rId25" w:history="1">
        <w:r w:rsidR="008850E2" w:rsidRPr="00F103F2">
          <w:rPr>
            <w:rStyle w:val="Hyperlink"/>
            <w:color w:val="0000FF"/>
          </w:rPr>
          <w:t>hep_services@slc.co.uk</w:t>
        </w:r>
      </w:hyperlink>
      <w:r w:rsidRPr="00C55F2E">
        <w:rPr>
          <w:color w:val="0000FF"/>
          <w:u w:val="single" w:color="0000FF"/>
        </w:rPr>
        <w:t>.</w:t>
      </w:r>
    </w:p>
    <w:p w14:paraId="1132E193" w14:textId="3987AAFD" w:rsidR="007229C2" w:rsidRPr="00C55F2E" w:rsidRDefault="007229C2" w:rsidP="00903195">
      <w:pPr>
        <w:pStyle w:val="Heading2"/>
        <w:spacing w:before="240" w:after="240" w:line="247" w:lineRule="auto"/>
        <w:ind w:left="-6" w:hanging="11"/>
        <w:rPr>
          <w:rFonts w:ascii="Calibri" w:hAnsi="Calibri" w:cs="Calibri"/>
        </w:rPr>
      </w:pPr>
      <w:bookmarkStart w:id="13" w:name="_Toc225775746"/>
      <w:r w:rsidRPr="00C55F2E">
        <w:rPr>
          <w:rFonts w:ascii="Calibri" w:hAnsi="Calibri" w:cs="Calibri"/>
        </w:rPr>
        <w:t>HEP Account Managers</w:t>
      </w:r>
      <w:bookmarkEnd w:id="13"/>
      <w:r w:rsidRPr="00C55F2E">
        <w:rPr>
          <w:rFonts w:ascii="Calibri" w:hAnsi="Calibri" w:cs="Calibri"/>
        </w:rPr>
        <w:t xml:space="preserve"> </w:t>
      </w:r>
    </w:p>
    <w:p w14:paraId="0F9177BD" w14:textId="1D5F212C" w:rsidR="007229C2" w:rsidRPr="00C55F2E" w:rsidRDefault="007229C2" w:rsidP="00860209">
      <w:pPr>
        <w:spacing w:line="247" w:lineRule="auto"/>
        <w:ind w:left="-6" w:hanging="11"/>
        <w:jc w:val="both"/>
      </w:pPr>
      <w:r w:rsidRPr="00C55F2E">
        <w:t>Our HEP Account Managers are responsible for helping you to submit data to us in line with service standards</w:t>
      </w:r>
      <w:r w:rsidR="00945408" w:rsidRPr="00C55F2E">
        <w:t>.</w:t>
      </w:r>
    </w:p>
    <w:p w14:paraId="11BEE5C9" w14:textId="77777777" w:rsidR="00945408" w:rsidRPr="00C55F2E" w:rsidRDefault="00945408" w:rsidP="00860209">
      <w:pPr>
        <w:spacing w:line="247" w:lineRule="auto"/>
        <w:ind w:left="-6" w:hanging="11"/>
      </w:pPr>
    </w:p>
    <w:p w14:paraId="5AAB52D1" w14:textId="3F4CFF7D" w:rsidR="007229C2" w:rsidRPr="00C55F2E" w:rsidRDefault="007229C2" w:rsidP="00860209">
      <w:pPr>
        <w:spacing w:line="247" w:lineRule="auto"/>
        <w:ind w:left="-6" w:hanging="11"/>
        <w:jc w:val="both"/>
      </w:pPr>
      <w:r w:rsidRPr="00C55F2E">
        <w:t xml:space="preserve">They monitor the performance of providers within each of their regions. Where required, HEP Account Managers will create action plans or performance improvement plans for </w:t>
      </w:r>
      <w:r w:rsidR="00D01F17" w:rsidRPr="00C55F2E">
        <w:t>HEPs</w:t>
      </w:r>
      <w:r w:rsidRPr="00C55F2E">
        <w:t xml:space="preserve"> that need extra support to bring performance up to the required level. Where improvement is not achieved or maintained this may result in an escalation.  </w:t>
      </w:r>
    </w:p>
    <w:p w14:paraId="79950EDD" w14:textId="77777777" w:rsidR="007229C2" w:rsidRPr="00C55F2E" w:rsidRDefault="007229C2" w:rsidP="00860209">
      <w:pPr>
        <w:spacing w:line="247" w:lineRule="auto"/>
        <w:ind w:left="-6" w:hanging="11"/>
      </w:pPr>
      <w:r w:rsidRPr="00C55F2E">
        <w:t xml:space="preserve"> </w:t>
      </w:r>
    </w:p>
    <w:p w14:paraId="6668268C" w14:textId="77777777" w:rsidR="007229C2" w:rsidRPr="00C55F2E" w:rsidRDefault="007229C2" w:rsidP="00860209">
      <w:pPr>
        <w:spacing w:line="247" w:lineRule="auto"/>
        <w:ind w:left="-6" w:hanging="11"/>
        <w:jc w:val="both"/>
      </w:pPr>
      <w:r w:rsidRPr="00C55F2E">
        <w:t xml:space="preserve">The HEP Account Managers are tasked with problem solving in their roles, which uses their SLC expertise in combination with in-depth sector knowledge to support providers in working as partners with SLC in the delivery of student finance day to day. Another important aspect of the role is the delivery of external training to ensure providers have the knowledge and skills required to use our systems and follow our processes correctly. </w:t>
      </w:r>
    </w:p>
    <w:p w14:paraId="449BC936" w14:textId="77777777" w:rsidR="007229C2" w:rsidRPr="00C55F2E" w:rsidRDefault="007229C2" w:rsidP="00860209">
      <w:pPr>
        <w:spacing w:line="247" w:lineRule="auto"/>
        <w:ind w:left="-6" w:hanging="11"/>
      </w:pPr>
      <w:r w:rsidRPr="00C55F2E">
        <w:rPr>
          <w:sz w:val="22"/>
        </w:rPr>
        <w:t xml:space="preserve"> </w:t>
      </w:r>
    </w:p>
    <w:p w14:paraId="2782FC3A" w14:textId="1BB3C65B" w:rsidR="007229C2" w:rsidRPr="00C55F2E" w:rsidRDefault="007229C2" w:rsidP="00860209">
      <w:pPr>
        <w:spacing w:line="247" w:lineRule="auto"/>
        <w:ind w:left="-6" w:hanging="11"/>
        <w:jc w:val="both"/>
      </w:pPr>
      <w:r w:rsidRPr="00C55F2E">
        <w:t xml:space="preserve">You can find out more information about who your regional account manager is on the </w:t>
      </w:r>
      <w:hyperlink r:id="rId26">
        <w:r w:rsidRPr="00C55F2E">
          <w:rPr>
            <w:color w:val="0000FF"/>
            <w:u w:val="single" w:color="0000FF"/>
          </w:rPr>
          <w:t>HEP Services website</w:t>
        </w:r>
      </w:hyperlink>
      <w:hyperlink r:id="rId27">
        <w:r w:rsidRPr="00C55F2E">
          <w:t>.</w:t>
        </w:r>
      </w:hyperlink>
      <w:r w:rsidRPr="00C55F2E">
        <w:t xml:space="preserve"> </w:t>
      </w:r>
    </w:p>
    <w:p w14:paraId="12E95EA2" w14:textId="514A6DE7" w:rsidR="007229C2" w:rsidRPr="00C55F2E" w:rsidRDefault="007229C2" w:rsidP="00903195">
      <w:pPr>
        <w:pStyle w:val="Heading1"/>
        <w:spacing w:before="240" w:after="240" w:line="247" w:lineRule="auto"/>
        <w:ind w:left="-6" w:hanging="11"/>
        <w:rPr>
          <w:rFonts w:ascii="Calibri" w:hAnsi="Calibri" w:cs="Calibri"/>
        </w:rPr>
      </w:pPr>
      <w:bookmarkStart w:id="14" w:name="_Toc225775747"/>
      <w:r w:rsidRPr="00C55F2E">
        <w:rPr>
          <w:rFonts w:ascii="Calibri" w:hAnsi="Calibri" w:cs="Calibri"/>
        </w:rPr>
        <w:t>Service functions</w:t>
      </w:r>
      <w:bookmarkEnd w:id="14"/>
      <w:r w:rsidRPr="00C55F2E">
        <w:rPr>
          <w:rFonts w:ascii="Calibri" w:hAnsi="Calibri" w:cs="Calibri"/>
        </w:rPr>
        <w:t xml:space="preserve"> </w:t>
      </w:r>
    </w:p>
    <w:p w14:paraId="1DE02B1F" w14:textId="07F24271" w:rsidR="007229C2" w:rsidRPr="00C55F2E" w:rsidRDefault="00B4018A" w:rsidP="00903195">
      <w:pPr>
        <w:pStyle w:val="Heading2"/>
        <w:spacing w:before="240" w:after="240" w:line="247" w:lineRule="auto"/>
        <w:ind w:left="-6" w:hanging="11"/>
        <w:rPr>
          <w:rFonts w:ascii="Calibri" w:hAnsi="Calibri" w:cs="Calibri"/>
        </w:rPr>
      </w:pPr>
      <w:bookmarkStart w:id="15" w:name="_Toc225775748"/>
      <w:r w:rsidRPr="00C55F2E">
        <w:rPr>
          <w:rFonts w:ascii="Calibri" w:hAnsi="Calibri" w:cs="Calibri"/>
        </w:rPr>
        <w:t>LLE Applications</w:t>
      </w:r>
      <w:bookmarkEnd w:id="15"/>
      <w:r w:rsidR="007229C2" w:rsidRPr="00C55F2E">
        <w:rPr>
          <w:rFonts w:ascii="Calibri" w:hAnsi="Calibri" w:cs="Calibri"/>
        </w:rPr>
        <w:t xml:space="preserve"> </w:t>
      </w:r>
    </w:p>
    <w:p w14:paraId="0CF38316" w14:textId="5550B340" w:rsidR="007229C2" w:rsidRPr="00C55F2E" w:rsidRDefault="007229C2" w:rsidP="00860209">
      <w:pPr>
        <w:spacing w:line="247" w:lineRule="auto"/>
        <w:ind w:left="-6" w:hanging="11"/>
        <w:jc w:val="both"/>
      </w:pPr>
      <w:r w:rsidRPr="00C55F2E">
        <w:t xml:space="preserve">The </w:t>
      </w:r>
      <w:r w:rsidR="00B4018A" w:rsidRPr="00C55F2E">
        <w:t xml:space="preserve">LLE Applications </w:t>
      </w:r>
      <w:r w:rsidRPr="00C55F2E">
        <w:t xml:space="preserve">section of SIS allows you to search and view the student details held on SIS for your </w:t>
      </w:r>
      <w:r w:rsidR="00C37DC9" w:rsidRPr="00C55F2E">
        <w:t>HEP</w:t>
      </w:r>
      <w:r w:rsidRPr="00C55F2E">
        <w:t xml:space="preserve">. It allows you to filter, export and view personal, </w:t>
      </w:r>
      <w:r w:rsidR="00B901E3" w:rsidRPr="00C55F2E">
        <w:t xml:space="preserve">module, </w:t>
      </w:r>
      <w:r w:rsidRPr="00C55F2E">
        <w:t xml:space="preserve">course, and student specific details relating to an individual student or group of students attending your </w:t>
      </w:r>
      <w:r w:rsidR="00C37DC9" w:rsidRPr="00C55F2E">
        <w:t>HEP</w:t>
      </w:r>
      <w:r w:rsidRPr="00C55F2E">
        <w:t xml:space="preserve">. You have the option to export data sets of student information, to allow the early import of files into your systems. You can access a history of actions for each individual student through the </w:t>
      </w:r>
      <w:r w:rsidR="0081797F" w:rsidRPr="00C55F2E">
        <w:t>LLE applications</w:t>
      </w:r>
      <w:r w:rsidRPr="00C55F2E">
        <w:t xml:space="preserve"> section. </w:t>
      </w:r>
    </w:p>
    <w:p w14:paraId="74F89A70" w14:textId="77777777" w:rsidR="007229C2" w:rsidRPr="00C55F2E" w:rsidRDefault="007229C2" w:rsidP="00860209">
      <w:pPr>
        <w:spacing w:line="247" w:lineRule="auto"/>
        <w:ind w:left="-6" w:hanging="11"/>
        <w:jc w:val="both"/>
      </w:pPr>
      <w:r w:rsidRPr="00C55F2E">
        <w:t xml:space="preserve"> </w:t>
      </w:r>
    </w:p>
    <w:p w14:paraId="0049A46A" w14:textId="77777777" w:rsidR="007229C2" w:rsidRPr="00C55F2E" w:rsidRDefault="007229C2" w:rsidP="00860209">
      <w:pPr>
        <w:spacing w:line="247" w:lineRule="auto"/>
        <w:ind w:left="-6" w:hanging="11"/>
        <w:jc w:val="both"/>
      </w:pPr>
      <w:r w:rsidRPr="00C55F2E">
        <w:t xml:space="preserve">Visible student information also allows you to encourage students who have still to apply to us for finance. You can also use it as a tool to prompt students who have applied online to amend their applications before the term start if their details are incorrect.  </w:t>
      </w:r>
    </w:p>
    <w:p w14:paraId="284D6690" w14:textId="77777777" w:rsidR="007229C2" w:rsidRPr="00C55F2E" w:rsidRDefault="007229C2" w:rsidP="00903195">
      <w:pPr>
        <w:pStyle w:val="Heading2"/>
        <w:spacing w:before="240" w:after="240" w:line="247" w:lineRule="auto"/>
        <w:ind w:left="-6" w:hanging="11"/>
        <w:rPr>
          <w:rFonts w:ascii="Calibri" w:hAnsi="Calibri" w:cs="Calibri"/>
        </w:rPr>
      </w:pPr>
      <w:bookmarkStart w:id="16" w:name="_Toc225775749"/>
      <w:r w:rsidRPr="00C55F2E">
        <w:rPr>
          <w:rFonts w:ascii="Calibri" w:hAnsi="Calibri" w:cs="Calibri"/>
        </w:rPr>
        <w:t>Registration confirmation</w:t>
      </w:r>
      <w:bookmarkEnd w:id="16"/>
      <w:r w:rsidRPr="00C55F2E">
        <w:rPr>
          <w:rFonts w:ascii="Calibri" w:hAnsi="Calibri" w:cs="Calibri"/>
        </w:rPr>
        <w:t xml:space="preserve">  </w:t>
      </w:r>
    </w:p>
    <w:p w14:paraId="762F7382" w14:textId="6521D4C8" w:rsidR="007229C2" w:rsidRPr="00C55F2E" w:rsidRDefault="007229C2" w:rsidP="00860209">
      <w:pPr>
        <w:spacing w:line="247" w:lineRule="auto"/>
        <w:ind w:left="-6" w:hanging="11"/>
        <w:jc w:val="both"/>
      </w:pPr>
      <w:r w:rsidRPr="00C55F2E">
        <w:t xml:space="preserve">Registration refers to the event or process through which an agreement is concluded between the student and the </w:t>
      </w:r>
      <w:r w:rsidR="00405C8D" w:rsidRPr="00C55F2E">
        <w:t>HEP</w:t>
      </w:r>
      <w:r w:rsidRPr="00C55F2E">
        <w:t xml:space="preserve">. Alternatively, registration refers to the duration of a binding agreement between a person and a </w:t>
      </w:r>
      <w:r w:rsidR="00405C8D" w:rsidRPr="00C55F2E">
        <w:t>HEP</w:t>
      </w:r>
      <w:r w:rsidRPr="00C55F2E">
        <w:t xml:space="preserve"> for the delivery of educational services.  </w:t>
      </w:r>
    </w:p>
    <w:p w14:paraId="156F4488" w14:textId="77777777" w:rsidR="007229C2" w:rsidRPr="00C55F2E" w:rsidRDefault="007229C2" w:rsidP="00860209">
      <w:pPr>
        <w:spacing w:line="247" w:lineRule="auto"/>
        <w:ind w:left="-6" w:hanging="11"/>
      </w:pPr>
      <w:r w:rsidRPr="00C55F2E">
        <w:t xml:space="preserve"> </w:t>
      </w:r>
    </w:p>
    <w:p w14:paraId="1DED1088" w14:textId="5DECFBCF" w:rsidR="00E36CB1" w:rsidRPr="00C55F2E" w:rsidRDefault="007229C2" w:rsidP="00860209">
      <w:pPr>
        <w:spacing w:line="247" w:lineRule="auto"/>
        <w:ind w:left="-6" w:hanging="11"/>
        <w:jc w:val="both"/>
      </w:pPr>
      <w:r w:rsidRPr="00C55F2E">
        <w:t xml:space="preserve">You should submit registration confirmations as soon as possible and only when there is evidence of student enrolment within your </w:t>
      </w:r>
      <w:r w:rsidR="00A6259C" w:rsidRPr="00C55F2E">
        <w:t>HEP</w:t>
      </w:r>
      <w:r w:rsidRPr="00C55F2E">
        <w:t xml:space="preserve"> system. This can include student identification or other indicators that they are valid students for the</w:t>
      </w:r>
      <w:r w:rsidR="006D6EBE" w:rsidRPr="00C55F2E">
        <w:t xml:space="preserve"> module or</w:t>
      </w:r>
      <w:r w:rsidRPr="00C55F2E">
        <w:t xml:space="preserve"> course. </w:t>
      </w:r>
    </w:p>
    <w:p w14:paraId="5723DFDA" w14:textId="77777777" w:rsidR="00E36CB1" w:rsidRPr="00C55F2E" w:rsidRDefault="00E36CB1" w:rsidP="00860209">
      <w:pPr>
        <w:spacing w:line="247" w:lineRule="auto"/>
        <w:ind w:left="-6" w:hanging="11"/>
        <w:jc w:val="both"/>
      </w:pPr>
    </w:p>
    <w:p w14:paraId="68A4C416" w14:textId="0373B19C" w:rsidR="007229C2" w:rsidRPr="00C55F2E" w:rsidRDefault="00E36CB1" w:rsidP="00860209">
      <w:pPr>
        <w:spacing w:line="247" w:lineRule="auto"/>
        <w:ind w:left="-6" w:hanging="11"/>
        <w:jc w:val="both"/>
      </w:pPr>
      <w:r w:rsidRPr="00C55F2E">
        <w:t xml:space="preserve">A positive registration confirmation </w:t>
      </w:r>
      <w:r w:rsidR="007229C2" w:rsidRPr="00C55F2E">
        <w:t>will trigger maintenance payments</w:t>
      </w:r>
      <w:r w:rsidR="000C4B0B" w:rsidRPr="00C55F2E">
        <w:t xml:space="preserve"> and any associated approved grants</w:t>
      </w:r>
      <w:r w:rsidR="007229C2" w:rsidRPr="00C55F2E">
        <w:t xml:space="preserve">.  </w:t>
      </w:r>
    </w:p>
    <w:p w14:paraId="1403600E" w14:textId="77777777" w:rsidR="007229C2" w:rsidRPr="00C55F2E" w:rsidRDefault="007229C2" w:rsidP="00860209">
      <w:pPr>
        <w:spacing w:line="247" w:lineRule="auto"/>
        <w:ind w:left="-6" w:hanging="11"/>
      </w:pPr>
      <w:r w:rsidRPr="00C55F2E">
        <w:rPr>
          <w:sz w:val="23"/>
        </w:rPr>
        <w:t xml:space="preserve"> </w:t>
      </w:r>
    </w:p>
    <w:p w14:paraId="6088A751" w14:textId="77DFB723" w:rsidR="007229C2" w:rsidRPr="00C55F2E" w:rsidRDefault="007229C2" w:rsidP="00860209">
      <w:pPr>
        <w:spacing w:line="247" w:lineRule="auto"/>
        <w:ind w:left="-6" w:hanging="11"/>
        <w:jc w:val="both"/>
      </w:pPr>
      <w:r w:rsidRPr="00C55F2E">
        <w:t xml:space="preserve">Students with approved applications will appear on the Registration Worklist 30 days before the </w:t>
      </w:r>
      <w:r w:rsidR="00406133" w:rsidRPr="00C55F2E">
        <w:t xml:space="preserve">module or </w:t>
      </w:r>
      <w:r w:rsidRPr="00C55F2E">
        <w:t xml:space="preserve">course start date. You can confirm student registration via the </w:t>
      </w:r>
      <w:r w:rsidR="003B58DB" w:rsidRPr="00C55F2E">
        <w:t>LLE Applications</w:t>
      </w:r>
      <w:r w:rsidRPr="00C55F2E">
        <w:rPr>
          <w:i/>
        </w:rPr>
        <w:t xml:space="preserve"> </w:t>
      </w:r>
      <w:r w:rsidRPr="00C55F2E">
        <w:t>section of SIS</w:t>
      </w:r>
      <w:r w:rsidR="003B58DB" w:rsidRPr="00C55F2E">
        <w:t xml:space="preserve"> by applying the Registrations Worklist filter</w:t>
      </w:r>
      <w:r w:rsidRPr="00C55F2E">
        <w:t xml:space="preserve">. </w:t>
      </w:r>
    </w:p>
    <w:p w14:paraId="7587AB09" w14:textId="77777777" w:rsidR="007229C2" w:rsidRPr="00C55F2E" w:rsidRDefault="007229C2" w:rsidP="00860209">
      <w:pPr>
        <w:spacing w:line="247" w:lineRule="auto"/>
        <w:ind w:left="-6" w:hanging="11"/>
      </w:pPr>
      <w:r w:rsidRPr="00C55F2E">
        <w:rPr>
          <w:sz w:val="20"/>
        </w:rPr>
        <w:t xml:space="preserve"> </w:t>
      </w:r>
    </w:p>
    <w:p w14:paraId="70B96596" w14:textId="5C81A90F" w:rsidR="007229C2" w:rsidRPr="00C55F2E" w:rsidRDefault="007229C2" w:rsidP="00860209">
      <w:pPr>
        <w:spacing w:line="247" w:lineRule="auto"/>
        <w:ind w:left="-6" w:hanging="11"/>
      </w:pPr>
      <w:r w:rsidRPr="00C55F2E">
        <w:t xml:space="preserve">There are </w:t>
      </w:r>
      <w:r w:rsidR="00223251" w:rsidRPr="00C55F2E">
        <w:t xml:space="preserve">3 </w:t>
      </w:r>
      <w:r w:rsidRPr="00C55F2E">
        <w:t xml:space="preserve">ways to submit registration confirmations on SIS. </w:t>
      </w:r>
    </w:p>
    <w:p w14:paraId="137B2C4C" w14:textId="77777777" w:rsidR="007229C2" w:rsidRPr="00C55F2E" w:rsidRDefault="007229C2" w:rsidP="00860209">
      <w:pPr>
        <w:spacing w:line="247" w:lineRule="auto"/>
        <w:ind w:left="-6" w:hanging="11"/>
      </w:pPr>
      <w:r w:rsidRPr="00C55F2E">
        <w:t xml:space="preserve"> </w:t>
      </w:r>
    </w:p>
    <w:p w14:paraId="775F1C60" w14:textId="09D34EEF" w:rsidR="007229C2" w:rsidRPr="00C55F2E" w:rsidRDefault="003B58DB" w:rsidP="00903195">
      <w:pPr>
        <w:numPr>
          <w:ilvl w:val="0"/>
          <w:numId w:val="11"/>
        </w:numPr>
        <w:spacing w:line="247" w:lineRule="auto"/>
        <w:ind w:left="738" w:hanging="454"/>
      </w:pPr>
      <w:r w:rsidRPr="00C55F2E">
        <w:t xml:space="preserve">LLE Applications </w:t>
      </w:r>
      <w:r w:rsidR="007229C2" w:rsidRPr="00C55F2E">
        <w:t xml:space="preserve">Registration Worklist </w:t>
      </w:r>
    </w:p>
    <w:p w14:paraId="16D074A1" w14:textId="73E3E519" w:rsidR="007229C2" w:rsidRPr="00C55F2E" w:rsidRDefault="007229C2" w:rsidP="00903195">
      <w:pPr>
        <w:spacing w:line="247" w:lineRule="auto"/>
        <w:ind w:left="738" w:hanging="18"/>
        <w:jc w:val="both"/>
      </w:pPr>
      <w:r w:rsidRPr="00C55F2E">
        <w:t xml:space="preserve">Students who require a registration confirmation will appear on the Registration Worklist 30 days before the start date of their </w:t>
      </w:r>
      <w:r w:rsidR="006F3E6A" w:rsidRPr="00C55F2E">
        <w:t xml:space="preserve">module or </w:t>
      </w:r>
      <w:r w:rsidRPr="00C55F2E">
        <w:t xml:space="preserve">course for you to confirm. </w:t>
      </w:r>
    </w:p>
    <w:p w14:paraId="561711BD" w14:textId="77777777" w:rsidR="007229C2" w:rsidRPr="00C55F2E" w:rsidRDefault="007229C2" w:rsidP="00860209">
      <w:pPr>
        <w:spacing w:line="247" w:lineRule="auto"/>
        <w:ind w:left="-6" w:hanging="11"/>
      </w:pPr>
      <w:r w:rsidRPr="00C55F2E">
        <w:t xml:space="preserve"> </w:t>
      </w:r>
    </w:p>
    <w:p w14:paraId="7904D07C" w14:textId="2B32388A" w:rsidR="007229C2" w:rsidRPr="00C55F2E" w:rsidRDefault="007229C2" w:rsidP="00903195">
      <w:pPr>
        <w:numPr>
          <w:ilvl w:val="0"/>
          <w:numId w:val="11"/>
        </w:numPr>
        <w:spacing w:line="247" w:lineRule="auto"/>
        <w:ind w:left="738" w:hanging="454"/>
      </w:pPr>
      <w:r w:rsidRPr="00C55F2E">
        <w:t xml:space="preserve">Manual Registration  </w:t>
      </w:r>
    </w:p>
    <w:p w14:paraId="48BF2480" w14:textId="6180E225" w:rsidR="007229C2" w:rsidRPr="00C55F2E" w:rsidRDefault="007229C2" w:rsidP="00903195">
      <w:pPr>
        <w:spacing w:line="247" w:lineRule="auto"/>
        <w:ind w:left="738" w:hanging="18"/>
        <w:jc w:val="both"/>
      </w:pPr>
      <w:r w:rsidRPr="00C55F2E">
        <w:t xml:space="preserve">You can register students before they appear on the Registration Worklist by submitting a manual registration. The reason you </w:t>
      </w:r>
      <w:proofErr w:type="gramStart"/>
      <w:r w:rsidRPr="00C55F2E">
        <w:t>would</w:t>
      </w:r>
      <w:proofErr w:type="gramEnd"/>
      <w:r w:rsidRPr="00C55F2E">
        <w:t xml:space="preserve"> use this if a student registers at another </w:t>
      </w:r>
      <w:r w:rsidR="005879F7" w:rsidRPr="00C55F2E">
        <w:t>HEP,</w:t>
      </w:r>
      <w:r w:rsidRPr="00C55F2E">
        <w:t xml:space="preserve"> but </w:t>
      </w:r>
      <w:r w:rsidR="00417BB4" w:rsidRPr="00C55F2E">
        <w:t>the transfer CoC process has not been fully completed.</w:t>
      </w:r>
      <w:r w:rsidRPr="00C55F2E">
        <w:t xml:space="preserve"> </w:t>
      </w:r>
    </w:p>
    <w:p w14:paraId="67E81B4A" w14:textId="77777777" w:rsidR="007229C2" w:rsidRPr="00C55F2E" w:rsidRDefault="007229C2" w:rsidP="00860209">
      <w:pPr>
        <w:spacing w:line="247" w:lineRule="auto"/>
        <w:ind w:left="-6" w:hanging="11"/>
      </w:pPr>
      <w:r w:rsidRPr="00C55F2E">
        <w:t xml:space="preserve"> </w:t>
      </w:r>
    </w:p>
    <w:p w14:paraId="75625E75" w14:textId="25E263A4" w:rsidR="007229C2" w:rsidRPr="00C55F2E" w:rsidRDefault="000E6B76" w:rsidP="00903195">
      <w:pPr>
        <w:numPr>
          <w:ilvl w:val="0"/>
          <w:numId w:val="11"/>
        </w:numPr>
        <w:spacing w:line="247" w:lineRule="auto"/>
        <w:ind w:left="738" w:hanging="454"/>
      </w:pPr>
      <w:r w:rsidRPr="00C55F2E">
        <w:t>LLE File Imports - Registration</w:t>
      </w:r>
      <w:r w:rsidR="007229C2" w:rsidRPr="00C55F2E">
        <w:t xml:space="preserve"> </w:t>
      </w:r>
    </w:p>
    <w:p w14:paraId="5C5A5EFC" w14:textId="4904B18F" w:rsidR="00725C7C" w:rsidRPr="00C55F2E" w:rsidRDefault="007229C2" w:rsidP="00903195">
      <w:pPr>
        <w:spacing w:line="247" w:lineRule="auto"/>
        <w:ind w:left="738" w:hanging="18"/>
        <w:jc w:val="both"/>
      </w:pPr>
      <w:r w:rsidRPr="00C55F2E">
        <w:t xml:space="preserve">You can export the information within the </w:t>
      </w:r>
      <w:r w:rsidR="000E6B76" w:rsidRPr="00C55F2E">
        <w:t xml:space="preserve">LLE Applications </w:t>
      </w:r>
      <w:r w:rsidRPr="00C55F2E">
        <w:t xml:space="preserve">Registration Worklist from SIS to your IT systems. You can </w:t>
      </w:r>
      <w:r w:rsidR="00725C7C" w:rsidRPr="00C55F2E">
        <w:t xml:space="preserve">then </w:t>
      </w:r>
      <w:r w:rsidRPr="00C55F2E">
        <w:t xml:space="preserve">import registration confirmations back into SIS using the </w:t>
      </w:r>
      <w:r w:rsidR="000E6B76" w:rsidRPr="00C55F2E">
        <w:t xml:space="preserve">LLE File Imports </w:t>
      </w:r>
      <w:r w:rsidR="00234465" w:rsidRPr="00C55F2E">
        <w:t>–</w:t>
      </w:r>
      <w:r w:rsidR="000E6B76" w:rsidRPr="00C55F2E">
        <w:t xml:space="preserve"> </w:t>
      </w:r>
      <w:r w:rsidR="006E0759" w:rsidRPr="00C55F2E">
        <w:t>Registration section</w:t>
      </w:r>
      <w:r w:rsidRPr="00C55F2E">
        <w:t>.</w:t>
      </w:r>
      <w:r w:rsidR="00725C7C" w:rsidRPr="00C55F2E">
        <w:t xml:space="preserve"> The files need to pass the validation steps to be successful. Please refer to online technical specifications for detailed information on the file validations for exporting and importing data. You can find these on the HE Gateway homepage.</w:t>
      </w:r>
      <w:r w:rsidR="00712538" w:rsidRPr="00C55F2E">
        <w:t xml:space="preserve"> </w:t>
      </w:r>
      <w:r w:rsidR="005C3669" w:rsidRPr="00C55F2E">
        <w:t xml:space="preserve">The technical specification </w:t>
      </w:r>
      <w:r w:rsidR="00B4293A" w:rsidRPr="00C55F2E">
        <w:t xml:space="preserve">for the file import can be found on the </w:t>
      </w:r>
      <w:hyperlink r:id="rId28" w:history="1">
        <w:r w:rsidR="00B4293A" w:rsidRPr="00F103F2">
          <w:rPr>
            <w:rStyle w:val="Hyperlink"/>
            <w:color w:val="0000FF"/>
          </w:rPr>
          <w:t>HE Gateway</w:t>
        </w:r>
      </w:hyperlink>
      <w:r w:rsidR="00F103F2">
        <w:t>.</w:t>
      </w:r>
    </w:p>
    <w:p w14:paraId="6EA44E82" w14:textId="77777777" w:rsidR="007229C2" w:rsidRPr="00C55F2E" w:rsidRDefault="007229C2" w:rsidP="00903195">
      <w:pPr>
        <w:pStyle w:val="Heading2"/>
        <w:spacing w:before="240" w:after="240" w:line="247" w:lineRule="auto"/>
        <w:ind w:left="-6" w:hanging="11"/>
        <w:rPr>
          <w:rFonts w:ascii="Calibri" w:hAnsi="Calibri" w:cs="Calibri"/>
        </w:rPr>
      </w:pPr>
      <w:bookmarkStart w:id="17" w:name="_Toc225775750"/>
      <w:r w:rsidRPr="00C55F2E">
        <w:rPr>
          <w:rFonts w:ascii="Calibri" w:hAnsi="Calibri" w:cs="Calibri"/>
        </w:rPr>
        <w:t>Attendance confirmation</w:t>
      </w:r>
      <w:bookmarkEnd w:id="17"/>
      <w:r w:rsidRPr="00C55F2E">
        <w:rPr>
          <w:rFonts w:ascii="Calibri" w:hAnsi="Calibri" w:cs="Calibri"/>
        </w:rPr>
        <w:t xml:space="preserve">  </w:t>
      </w:r>
    </w:p>
    <w:p w14:paraId="23E07C05" w14:textId="112396AE" w:rsidR="007229C2" w:rsidRPr="00C55F2E" w:rsidRDefault="007229C2" w:rsidP="00860209">
      <w:pPr>
        <w:spacing w:line="247" w:lineRule="auto"/>
        <w:ind w:left="-6" w:hanging="11"/>
        <w:jc w:val="both"/>
      </w:pPr>
      <w:r w:rsidRPr="00C55F2E">
        <w:t>Attendance means active and ongoing engagement with the activities and learning opportunities on or as part of a</w:t>
      </w:r>
      <w:r w:rsidR="00292E24" w:rsidRPr="00C55F2E">
        <w:t xml:space="preserve"> module or</w:t>
      </w:r>
      <w:r w:rsidRPr="00C55F2E">
        <w:t xml:space="preserve"> course. These include, but are not limited to, scheduled learning and teaching activities. </w:t>
      </w:r>
    </w:p>
    <w:p w14:paraId="7602A414" w14:textId="77777777" w:rsidR="007229C2" w:rsidRPr="00C55F2E" w:rsidRDefault="007229C2" w:rsidP="00860209">
      <w:pPr>
        <w:spacing w:line="247" w:lineRule="auto"/>
        <w:ind w:left="-6" w:hanging="11"/>
      </w:pPr>
      <w:r w:rsidRPr="00C55F2E">
        <w:t xml:space="preserve"> </w:t>
      </w:r>
    </w:p>
    <w:p w14:paraId="5E5D926B" w14:textId="52230CE2" w:rsidR="007229C2" w:rsidRPr="00C55F2E" w:rsidRDefault="007229C2" w:rsidP="00860209">
      <w:pPr>
        <w:spacing w:line="247" w:lineRule="auto"/>
        <w:ind w:left="-6" w:hanging="11"/>
        <w:jc w:val="both"/>
      </w:pPr>
      <w:r w:rsidRPr="00C55F2E">
        <w:t xml:space="preserve">SIS contains business rules to determine whether a student requires an attendance confirmation. It will display all students who meet the criteria on the </w:t>
      </w:r>
      <w:r w:rsidR="00292E24" w:rsidRPr="00C55F2E">
        <w:t xml:space="preserve">LLE Applications </w:t>
      </w:r>
      <w:r w:rsidRPr="00C55F2E">
        <w:t xml:space="preserve">Attendance Confirmation Worklist. </w:t>
      </w:r>
    </w:p>
    <w:p w14:paraId="46C6F627" w14:textId="77777777" w:rsidR="007229C2" w:rsidRPr="00C55F2E" w:rsidRDefault="007229C2" w:rsidP="00860209">
      <w:pPr>
        <w:spacing w:line="247" w:lineRule="auto"/>
        <w:ind w:left="-6" w:hanging="11"/>
      </w:pPr>
      <w:r w:rsidRPr="00C55F2E">
        <w:rPr>
          <w:sz w:val="23"/>
        </w:rPr>
        <w:t xml:space="preserve"> </w:t>
      </w:r>
    </w:p>
    <w:p w14:paraId="59DE037E" w14:textId="2AFAB6BE" w:rsidR="007229C2" w:rsidRPr="00C55F2E" w:rsidRDefault="007229C2" w:rsidP="00860209">
      <w:pPr>
        <w:spacing w:line="247" w:lineRule="auto"/>
        <w:ind w:left="-6" w:hanging="11"/>
        <w:jc w:val="both"/>
      </w:pPr>
      <w:r w:rsidRPr="00C55F2E">
        <w:t xml:space="preserve">Attendance confirmations are open </w:t>
      </w:r>
      <w:r w:rsidR="00E95334" w:rsidRPr="00C55F2E">
        <w:t xml:space="preserve">following the completion of the minimum </w:t>
      </w:r>
      <w:proofErr w:type="gramStart"/>
      <w:r w:rsidR="00E95334" w:rsidRPr="00C55F2E">
        <w:t>14 day</w:t>
      </w:r>
      <w:proofErr w:type="gramEnd"/>
      <w:r w:rsidR="00E95334" w:rsidRPr="00C55F2E">
        <w:t xml:space="preserve"> mandatory cooling off period after </w:t>
      </w:r>
      <w:r w:rsidRPr="00C55F2E">
        <w:t xml:space="preserve">the </w:t>
      </w:r>
      <w:r w:rsidR="006F3E6A" w:rsidRPr="00C55F2E">
        <w:t xml:space="preserve">module or </w:t>
      </w:r>
      <w:r w:rsidR="0011272A" w:rsidRPr="00C55F2E">
        <w:t xml:space="preserve">course start date. </w:t>
      </w:r>
      <w:r w:rsidR="006F3E6A" w:rsidRPr="00C55F2E">
        <w:t>Subsequent</w:t>
      </w:r>
      <w:r w:rsidR="0011272A" w:rsidRPr="00C55F2E">
        <w:t xml:space="preserve"> attendance confirmation dates will be </w:t>
      </w:r>
      <w:r w:rsidR="001D1C24" w:rsidRPr="00C55F2E">
        <w:t>determined</w:t>
      </w:r>
      <w:r w:rsidR="0011272A" w:rsidRPr="00C55F2E">
        <w:t xml:space="preserve"> </w:t>
      </w:r>
      <w:r w:rsidR="001D1C24" w:rsidRPr="00C55F2E">
        <w:t>in line with the 2</w:t>
      </w:r>
      <w:r w:rsidR="001D1C24" w:rsidRPr="00C55F2E">
        <w:rPr>
          <w:vertAlign w:val="superscript"/>
        </w:rPr>
        <w:t>nd</w:t>
      </w:r>
      <w:r w:rsidR="001D1C24" w:rsidRPr="00C55F2E">
        <w:t>, 3</w:t>
      </w:r>
      <w:r w:rsidR="001D1C24" w:rsidRPr="00C55F2E">
        <w:rPr>
          <w:vertAlign w:val="superscript"/>
        </w:rPr>
        <w:t>rd</w:t>
      </w:r>
      <w:r w:rsidR="001D1C24" w:rsidRPr="00C55F2E">
        <w:t xml:space="preserve"> or 4</w:t>
      </w:r>
      <w:r w:rsidR="001D1C24" w:rsidRPr="00C55F2E">
        <w:rPr>
          <w:vertAlign w:val="superscript"/>
        </w:rPr>
        <w:t>th</w:t>
      </w:r>
      <w:r w:rsidR="001D1C24" w:rsidRPr="00C55F2E">
        <w:t xml:space="preserve"> </w:t>
      </w:r>
      <w:r w:rsidR="00C048A0" w:rsidRPr="00C55F2E">
        <w:t xml:space="preserve">payment </w:t>
      </w:r>
      <w:r w:rsidR="001D1C24" w:rsidRPr="00C55F2E">
        <w:t>point</w:t>
      </w:r>
      <w:r w:rsidR="00C048A0" w:rsidRPr="00C55F2E">
        <w:t>s</w:t>
      </w:r>
      <w:r w:rsidR="001D1C24" w:rsidRPr="00C55F2E">
        <w:t xml:space="preserve"> dependent on the duration of the module or course.</w:t>
      </w:r>
      <w:r w:rsidRPr="00C55F2E">
        <w:t xml:space="preserve"> You should submit attendance confirmations, including those where you need to submit a CoC to correct student information, as soon as possible, following cooling off periods and only when there is evidence of ongoing engagement with the activities and learning opportunities on or as part of a </w:t>
      </w:r>
      <w:r w:rsidR="00535FC9" w:rsidRPr="00C55F2E">
        <w:t xml:space="preserve">module or </w:t>
      </w:r>
      <w:r w:rsidRPr="00C55F2E">
        <w:t xml:space="preserve">course. </w:t>
      </w:r>
    </w:p>
    <w:p w14:paraId="1BDE4D6A" w14:textId="774BA7A8" w:rsidR="007229C2" w:rsidRPr="00C55F2E" w:rsidRDefault="007229C2" w:rsidP="00860209">
      <w:pPr>
        <w:spacing w:line="247" w:lineRule="auto"/>
        <w:ind w:left="-6" w:hanging="11"/>
      </w:pPr>
      <w:r w:rsidRPr="00C55F2E">
        <w:t xml:space="preserve"> </w:t>
      </w:r>
    </w:p>
    <w:p w14:paraId="3A4C9D85" w14:textId="534B2304" w:rsidR="007229C2" w:rsidRPr="00C55F2E" w:rsidRDefault="007229C2" w:rsidP="00860209">
      <w:pPr>
        <w:spacing w:line="247" w:lineRule="auto"/>
        <w:ind w:left="-6" w:hanging="11"/>
        <w:jc w:val="both"/>
      </w:pPr>
      <w:r w:rsidRPr="00C55F2E">
        <w:lastRenderedPageBreak/>
        <w:t xml:space="preserve">You will have the ability to select a relevant attendance code, these are detailed in the </w:t>
      </w:r>
      <w:hyperlink r:id="rId29">
        <w:r w:rsidRPr="00C55F2E">
          <w:rPr>
            <w:color w:val="auto"/>
            <w:u w:color="0000FF"/>
          </w:rPr>
          <w:t>guidance</w:t>
        </w:r>
      </w:hyperlink>
      <w:hyperlink r:id="rId30">
        <w:r w:rsidRPr="00C55F2E">
          <w:rPr>
            <w:color w:val="auto"/>
          </w:rPr>
          <w:t xml:space="preserve"> </w:t>
        </w:r>
      </w:hyperlink>
      <w:hyperlink r:id="rId31">
        <w:r w:rsidRPr="00C55F2E">
          <w:rPr>
            <w:color w:val="auto"/>
            <w:u w:color="0000FF"/>
          </w:rPr>
          <w:t>available</w:t>
        </w:r>
      </w:hyperlink>
      <w:hyperlink r:id="rId32">
        <w:r w:rsidRPr="00C55F2E">
          <w:rPr>
            <w:color w:val="auto"/>
            <w:u w:color="0000FF"/>
          </w:rPr>
          <w:t xml:space="preserve"> </w:t>
        </w:r>
      </w:hyperlink>
      <w:hyperlink r:id="rId33">
        <w:r w:rsidRPr="00C55F2E">
          <w:rPr>
            <w:color w:val="auto"/>
            <w:u w:color="0000FF"/>
          </w:rPr>
          <w:t>on</w:t>
        </w:r>
      </w:hyperlink>
      <w:r w:rsidR="000A7821">
        <w:t xml:space="preserve"> the</w:t>
      </w:r>
      <w:hyperlink r:id="rId34">
        <w:r w:rsidRPr="00C55F2E">
          <w:rPr>
            <w:color w:val="auto"/>
            <w:u w:color="0000FF"/>
          </w:rPr>
          <w:t xml:space="preserve"> </w:t>
        </w:r>
      </w:hyperlink>
      <w:hyperlink r:id="rId35">
        <w:r w:rsidR="000A7821" w:rsidRPr="00C55F2E">
          <w:rPr>
            <w:color w:val="0000FF"/>
            <w:u w:val="single" w:color="0000FF"/>
          </w:rPr>
          <w:t>HEP Services website</w:t>
        </w:r>
      </w:hyperlink>
      <w:hyperlink r:id="rId36">
        <w:r w:rsidRPr="00C55F2E">
          <w:rPr>
            <w:sz w:val="20"/>
            <w:szCs w:val="20"/>
          </w:rPr>
          <w:t>.</w:t>
        </w:r>
      </w:hyperlink>
    </w:p>
    <w:p w14:paraId="2843D222" w14:textId="77777777" w:rsidR="007229C2" w:rsidRPr="00C55F2E" w:rsidRDefault="007229C2" w:rsidP="00860209">
      <w:pPr>
        <w:spacing w:line="247" w:lineRule="auto"/>
        <w:ind w:left="-6" w:hanging="11"/>
      </w:pPr>
      <w:r w:rsidRPr="00C55F2E">
        <w:rPr>
          <w:sz w:val="23"/>
        </w:rPr>
        <w:t xml:space="preserve"> </w:t>
      </w:r>
    </w:p>
    <w:p w14:paraId="4CE11B85" w14:textId="14DE9D13" w:rsidR="007229C2" w:rsidRPr="00C55F2E" w:rsidRDefault="007229C2" w:rsidP="00860209">
      <w:pPr>
        <w:spacing w:line="247" w:lineRule="auto"/>
        <w:ind w:left="-6" w:hanging="11"/>
      </w:pPr>
      <w:r w:rsidRPr="00C55F2E">
        <w:t xml:space="preserve">There are </w:t>
      </w:r>
      <w:r w:rsidR="00542E74" w:rsidRPr="00C55F2E">
        <w:t xml:space="preserve">2 </w:t>
      </w:r>
      <w:r w:rsidRPr="00C55F2E">
        <w:t xml:space="preserve">ways to submit attendance confirmations on SIS. </w:t>
      </w:r>
    </w:p>
    <w:p w14:paraId="72E9ADDB" w14:textId="77777777" w:rsidR="007229C2" w:rsidRPr="00C55F2E" w:rsidRDefault="007229C2" w:rsidP="00860209">
      <w:pPr>
        <w:spacing w:line="247" w:lineRule="auto"/>
        <w:ind w:left="-6" w:hanging="11"/>
      </w:pPr>
      <w:r w:rsidRPr="00C55F2E">
        <w:t xml:space="preserve"> </w:t>
      </w:r>
    </w:p>
    <w:p w14:paraId="09BFA405" w14:textId="77777777" w:rsidR="007229C2" w:rsidRPr="00C55F2E" w:rsidRDefault="007229C2" w:rsidP="00903195">
      <w:pPr>
        <w:numPr>
          <w:ilvl w:val="0"/>
          <w:numId w:val="12"/>
        </w:numPr>
        <w:spacing w:line="247" w:lineRule="auto"/>
        <w:ind w:left="738" w:hanging="454"/>
      </w:pPr>
      <w:r w:rsidRPr="00C55F2E">
        <w:t xml:space="preserve">Attendance Worklist </w:t>
      </w:r>
    </w:p>
    <w:p w14:paraId="1804183B" w14:textId="0B40BA80" w:rsidR="007229C2" w:rsidRPr="00C55F2E" w:rsidRDefault="007229C2" w:rsidP="00903195">
      <w:pPr>
        <w:spacing w:line="247" w:lineRule="auto"/>
        <w:ind w:left="738" w:hanging="18"/>
        <w:jc w:val="both"/>
      </w:pPr>
      <w:r w:rsidRPr="00C55F2E">
        <w:t xml:space="preserve">The </w:t>
      </w:r>
      <w:r w:rsidR="00E0207F" w:rsidRPr="00C55F2E">
        <w:t xml:space="preserve">LLE Applications </w:t>
      </w:r>
      <w:r w:rsidRPr="00C55F2E">
        <w:t xml:space="preserve">Attendance Worklist will populate with all students who meet the criteria for each </w:t>
      </w:r>
      <w:r w:rsidR="005641FB" w:rsidRPr="00C55F2E">
        <w:t xml:space="preserve">payment </w:t>
      </w:r>
      <w:r w:rsidRPr="00C55F2E">
        <w:t xml:space="preserve">period. This will take place </w:t>
      </w:r>
      <w:r w:rsidR="002A31A5" w:rsidRPr="00C55F2E">
        <w:t>14 days after the mandatory co</w:t>
      </w:r>
      <w:r w:rsidR="00BC7835">
        <w:t>o</w:t>
      </w:r>
      <w:r w:rsidR="002A31A5" w:rsidRPr="00C55F2E">
        <w:t xml:space="preserve">ling off period for the module </w:t>
      </w:r>
      <w:r w:rsidR="00535FC9" w:rsidRPr="00C55F2E">
        <w:t xml:space="preserve">or </w:t>
      </w:r>
      <w:r w:rsidR="002A31A5" w:rsidRPr="00C55F2E">
        <w:t xml:space="preserve">course start date. For all other </w:t>
      </w:r>
      <w:r w:rsidR="005641FB" w:rsidRPr="00C55F2E">
        <w:t xml:space="preserve">payment </w:t>
      </w:r>
      <w:r w:rsidR="002A31A5" w:rsidRPr="00C55F2E">
        <w:t xml:space="preserve">periods, the </w:t>
      </w:r>
      <w:r w:rsidR="00B21295" w:rsidRPr="00C55F2E">
        <w:t xml:space="preserve">students will </w:t>
      </w:r>
      <w:r w:rsidR="00CF280C" w:rsidRPr="00C55F2E">
        <w:t xml:space="preserve">appear in line with the module or course duration. </w:t>
      </w:r>
      <w:r w:rsidRPr="00C55F2E">
        <w:t xml:space="preserve">You can then view, save, or submit attendance information for these students.  </w:t>
      </w:r>
    </w:p>
    <w:p w14:paraId="70223CB0" w14:textId="77777777" w:rsidR="007229C2" w:rsidRPr="00C55F2E" w:rsidRDefault="007229C2" w:rsidP="00903195">
      <w:pPr>
        <w:spacing w:line="247" w:lineRule="auto"/>
        <w:ind w:left="738" w:hanging="454"/>
      </w:pPr>
      <w:r w:rsidRPr="00C55F2E">
        <w:rPr>
          <w:sz w:val="23"/>
        </w:rPr>
        <w:t xml:space="preserve"> </w:t>
      </w:r>
    </w:p>
    <w:p w14:paraId="66FC240E" w14:textId="77777777" w:rsidR="007229C2" w:rsidRPr="00C55F2E" w:rsidRDefault="007229C2" w:rsidP="00903195">
      <w:pPr>
        <w:numPr>
          <w:ilvl w:val="0"/>
          <w:numId w:val="12"/>
        </w:numPr>
        <w:spacing w:line="247" w:lineRule="auto"/>
        <w:ind w:left="738" w:hanging="454"/>
      </w:pPr>
      <w:r w:rsidRPr="00C55F2E">
        <w:t>Import Attendance Confirmations</w:t>
      </w:r>
      <w:r w:rsidRPr="00C55F2E">
        <w:rPr>
          <w:b/>
          <w:i/>
        </w:rPr>
        <w:t xml:space="preserve"> </w:t>
      </w:r>
    </w:p>
    <w:p w14:paraId="06C8BBC1" w14:textId="01EA42F1" w:rsidR="007229C2" w:rsidRPr="00C55F2E" w:rsidRDefault="007229C2" w:rsidP="00903195">
      <w:pPr>
        <w:spacing w:line="247" w:lineRule="auto"/>
        <w:ind w:left="738" w:hanging="18"/>
        <w:jc w:val="both"/>
      </w:pPr>
      <w:r w:rsidRPr="00C55F2E">
        <w:t xml:space="preserve">You can export the information within the </w:t>
      </w:r>
      <w:r w:rsidR="00E9090C" w:rsidRPr="00C55F2E">
        <w:t xml:space="preserve">LLE Applications </w:t>
      </w:r>
      <w:r w:rsidRPr="00C55F2E">
        <w:t xml:space="preserve">Attendance Worklist from SIS to be transferred to your IT systems. You can then import attendance confirmations back into SIS using the </w:t>
      </w:r>
      <w:r w:rsidR="00E6591F" w:rsidRPr="00C55F2E">
        <w:t xml:space="preserve">LLE File Imports – Attendance </w:t>
      </w:r>
      <w:r w:rsidRPr="00C55F2E">
        <w:t>section. The files need to pass the validation steps to be successful. Please refer to online technical specifications for detailed information on the file validations for exporting and importing data.</w:t>
      </w:r>
      <w:r w:rsidR="009C5049" w:rsidRPr="00C55F2E">
        <w:t xml:space="preserve"> The technical specification for the file import can be found on the HE Gateway (https://secure.heservices.slc.co.uk/)</w:t>
      </w:r>
    </w:p>
    <w:p w14:paraId="15CEC7EA" w14:textId="77777777" w:rsidR="00AC1BB7" w:rsidRPr="00C55F2E" w:rsidRDefault="007229C2" w:rsidP="00903195">
      <w:pPr>
        <w:pStyle w:val="Heading2"/>
        <w:spacing w:before="240" w:after="240" w:line="247" w:lineRule="auto"/>
        <w:ind w:left="-6" w:hanging="11"/>
        <w:rPr>
          <w:rFonts w:ascii="Calibri" w:hAnsi="Calibri" w:cs="Calibri"/>
        </w:rPr>
      </w:pPr>
      <w:bookmarkStart w:id="18" w:name="_Toc225775751"/>
      <w:r w:rsidRPr="00C55F2E">
        <w:rPr>
          <w:rFonts w:ascii="Calibri" w:hAnsi="Calibri" w:cs="Calibri"/>
        </w:rPr>
        <w:t>Change of Circumstance</w:t>
      </w:r>
      <w:bookmarkEnd w:id="18"/>
    </w:p>
    <w:p w14:paraId="56B3917A" w14:textId="6B4CAAAA" w:rsidR="007229C2" w:rsidRPr="00C55F2E" w:rsidRDefault="007229C2" w:rsidP="00860209">
      <w:pPr>
        <w:spacing w:line="247" w:lineRule="auto"/>
        <w:ind w:left="-6" w:hanging="11"/>
        <w:jc w:val="both"/>
      </w:pPr>
      <w:r w:rsidRPr="00C55F2E">
        <w:t xml:space="preserve">The CoC function is used to notify us of changes and corrections to the student’s study plan. On receipt of the CoC, the Award Authority reassesses and updates the student’s information, then sends the student a revised Student Finance Entitlement notification (the student support payments will be adjusted if required) and updates the student’s information held on SIS. The online process provided by SIS allows you to create and submit CoC notifications to the Award Authorities in real time. </w:t>
      </w:r>
    </w:p>
    <w:p w14:paraId="41E0C977" w14:textId="77777777" w:rsidR="007229C2" w:rsidRPr="00C55F2E" w:rsidRDefault="007229C2" w:rsidP="00860209">
      <w:pPr>
        <w:spacing w:line="247" w:lineRule="auto"/>
        <w:ind w:left="-6" w:hanging="11"/>
      </w:pPr>
      <w:r w:rsidRPr="00C55F2E">
        <w:t xml:space="preserve"> </w:t>
      </w:r>
    </w:p>
    <w:p w14:paraId="679DB365" w14:textId="77777777" w:rsidR="007229C2" w:rsidRPr="00C55F2E" w:rsidRDefault="007229C2" w:rsidP="00860209">
      <w:pPr>
        <w:spacing w:line="247" w:lineRule="auto"/>
        <w:ind w:left="-6" w:hanging="11"/>
        <w:jc w:val="both"/>
      </w:pPr>
      <w:r w:rsidRPr="00C55F2E">
        <w:t xml:space="preserve">You must notify us of a CoC for an individual student using one or more of the following reason categories: </w:t>
      </w:r>
    </w:p>
    <w:p w14:paraId="27F80960" w14:textId="77777777" w:rsidR="007229C2" w:rsidRPr="00C55F2E" w:rsidRDefault="007229C2" w:rsidP="00860209">
      <w:pPr>
        <w:spacing w:line="247" w:lineRule="auto"/>
        <w:ind w:left="-6" w:hanging="11"/>
      </w:pPr>
      <w:r w:rsidRPr="00C55F2E">
        <w:rPr>
          <w:sz w:val="23"/>
        </w:rPr>
        <w:t xml:space="preserve"> </w:t>
      </w:r>
    </w:p>
    <w:p w14:paraId="718C7FFD" w14:textId="77777777" w:rsidR="007229C2" w:rsidRPr="00C55F2E" w:rsidRDefault="007229C2" w:rsidP="00903195">
      <w:pPr>
        <w:numPr>
          <w:ilvl w:val="0"/>
          <w:numId w:val="13"/>
        </w:numPr>
        <w:spacing w:line="247" w:lineRule="auto"/>
        <w:ind w:left="738" w:hanging="454"/>
      </w:pPr>
      <w:r w:rsidRPr="00C55F2E">
        <w:t xml:space="preserve">a student withdrawing </w:t>
      </w:r>
    </w:p>
    <w:p w14:paraId="3616FE21" w14:textId="77777777" w:rsidR="007229C2" w:rsidRPr="00C55F2E" w:rsidRDefault="007229C2" w:rsidP="00903195">
      <w:pPr>
        <w:numPr>
          <w:ilvl w:val="0"/>
          <w:numId w:val="13"/>
        </w:numPr>
        <w:spacing w:line="247" w:lineRule="auto"/>
        <w:ind w:left="738" w:hanging="454"/>
      </w:pPr>
      <w:r w:rsidRPr="00C55F2E">
        <w:t xml:space="preserve">a student suspending </w:t>
      </w:r>
    </w:p>
    <w:p w14:paraId="2B1FFD26" w14:textId="7D74C038" w:rsidR="007229C2" w:rsidRPr="00C55F2E" w:rsidRDefault="007229C2" w:rsidP="00903195">
      <w:pPr>
        <w:numPr>
          <w:ilvl w:val="0"/>
          <w:numId w:val="13"/>
        </w:numPr>
        <w:spacing w:line="247" w:lineRule="auto"/>
        <w:ind w:left="738" w:hanging="454"/>
      </w:pPr>
      <w:r w:rsidRPr="00C55F2E">
        <w:t xml:space="preserve">a student resuming a </w:t>
      </w:r>
      <w:r w:rsidR="0050087D" w:rsidRPr="00C55F2E">
        <w:t xml:space="preserve">module or </w:t>
      </w:r>
      <w:r w:rsidRPr="00C55F2E">
        <w:t xml:space="preserve">course they were originally attending </w:t>
      </w:r>
    </w:p>
    <w:p w14:paraId="053F6763" w14:textId="4267FF28" w:rsidR="007229C2" w:rsidRPr="00C55F2E" w:rsidRDefault="007229C2" w:rsidP="00903195">
      <w:pPr>
        <w:numPr>
          <w:ilvl w:val="0"/>
          <w:numId w:val="13"/>
        </w:numPr>
        <w:spacing w:line="247" w:lineRule="auto"/>
        <w:ind w:left="738" w:hanging="454"/>
      </w:pPr>
      <w:r w:rsidRPr="00C55F2E">
        <w:t xml:space="preserve">a student transferring to a new </w:t>
      </w:r>
      <w:r w:rsidR="0050087D" w:rsidRPr="00C55F2E">
        <w:t xml:space="preserve">module, </w:t>
      </w:r>
      <w:r w:rsidRPr="00C55F2E">
        <w:t xml:space="preserve">course or provider </w:t>
      </w:r>
    </w:p>
    <w:p w14:paraId="6C6DE680" w14:textId="30C6F156" w:rsidR="007229C2" w:rsidRPr="00C55F2E" w:rsidRDefault="007229C2" w:rsidP="00903195">
      <w:pPr>
        <w:numPr>
          <w:ilvl w:val="0"/>
          <w:numId w:val="13"/>
        </w:numPr>
        <w:spacing w:line="247" w:lineRule="auto"/>
        <w:ind w:left="738" w:hanging="454"/>
      </w:pPr>
      <w:r w:rsidRPr="00C55F2E">
        <w:t xml:space="preserve">a student repeating a year </w:t>
      </w:r>
      <w:r w:rsidR="00880FBF" w:rsidRPr="00C55F2E">
        <w:t xml:space="preserve">or portion </w:t>
      </w:r>
      <w:r w:rsidRPr="00C55F2E">
        <w:t>of study</w:t>
      </w:r>
    </w:p>
    <w:p w14:paraId="1BC6F6F0" w14:textId="77777777" w:rsidR="007229C2" w:rsidRPr="00C55F2E" w:rsidRDefault="007229C2" w:rsidP="00903195">
      <w:pPr>
        <w:numPr>
          <w:ilvl w:val="0"/>
          <w:numId w:val="13"/>
        </w:numPr>
        <w:spacing w:line="247" w:lineRule="auto"/>
        <w:ind w:left="738" w:hanging="454"/>
      </w:pPr>
      <w:r w:rsidRPr="00C55F2E">
        <w:t xml:space="preserve">a student changing the intensity of their study </w:t>
      </w:r>
    </w:p>
    <w:p w14:paraId="7135DB51" w14:textId="77777777" w:rsidR="007229C2" w:rsidRPr="00C55F2E" w:rsidRDefault="007229C2" w:rsidP="00903195">
      <w:pPr>
        <w:numPr>
          <w:ilvl w:val="0"/>
          <w:numId w:val="13"/>
        </w:numPr>
        <w:spacing w:line="247" w:lineRule="auto"/>
        <w:ind w:left="738" w:hanging="454"/>
      </w:pPr>
      <w:r w:rsidRPr="00C55F2E">
        <w:t xml:space="preserve">a student changing their Tuition Fee Loan amount  </w:t>
      </w:r>
    </w:p>
    <w:p w14:paraId="3A2BA105" w14:textId="77777777" w:rsidR="007229C2" w:rsidRPr="00C55F2E" w:rsidRDefault="007229C2" w:rsidP="00860209">
      <w:pPr>
        <w:spacing w:line="247" w:lineRule="auto"/>
        <w:ind w:left="-6" w:hanging="11"/>
      </w:pPr>
      <w:r w:rsidRPr="00C55F2E">
        <w:t xml:space="preserve"> </w:t>
      </w:r>
    </w:p>
    <w:p w14:paraId="36CD1A8D" w14:textId="77777777" w:rsidR="007229C2" w:rsidRPr="00C55F2E" w:rsidRDefault="007229C2" w:rsidP="00860209">
      <w:pPr>
        <w:spacing w:line="247" w:lineRule="auto"/>
        <w:ind w:left="-6" w:hanging="11"/>
      </w:pPr>
      <w:r w:rsidRPr="00C55F2E">
        <w:t xml:space="preserve">You can submit a CoC notification for: </w:t>
      </w:r>
    </w:p>
    <w:p w14:paraId="758075FA" w14:textId="77777777" w:rsidR="007229C2" w:rsidRPr="00C55F2E" w:rsidRDefault="007229C2" w:rsidP="00903195">
      <w:pPr>
        <w:numPr>
          <w:ilvl w:val="0"/>
          <w:numId w:val="13"/>
        </w:numPr>
        <w:spacing w:line="247" w:lineRule="auto"/>
        <w:ind w:left="738" w:hanging="454"/>
      </w:pPr>
      <w:r w:rsidRPr="00C55F2E">
        <w:t xml:space="preserve">single submissions </w:t>
      </w:r>
    </w:p>
    <w:p w14:paraId="7E06EE8E" w14:textId="29ED4BDE" w:rsidR="00842837" w:rsidRPr="00C55F2E" w:rsidRDefault="00C16D88" w:rsidP="00903195">
      <w:pPr>
        <w:numPr>
          <w:ilvl w:val="0"/>
          <w:numId w:val="12"/>
        </w:numPr>
        <w:spacing w:line="247" w:lineRule="auto"/>
        <w:ind w:left="738" w:hanging="454"/>
      </w:pPr>
      <w:r w:rsidRPr="00C55F2E">
        <w:t>CoC Bulk Upload</w:t>
      </w:r>
      <w:r w:rsidR="0034082E" w:rsidRPr="00C55F2E">
        <w:t>s</w:t>
      </w:r>
    </w:p>
    <w:p w14:paraId="58B47BAA" w14:textId="6223E142" w:rsidR="00C16D88" w:rsidRPr="00C55F2E" w:rsidRDefault="00C16D88" w:rsidP="00903195">
      <w:pPr>
        <w:spacing w:line="247" w:lineRule="auto"/>
        <w:ind w:left="720" w:hanging="11"/>
      </w:pPr>
      <w:r w:rsidRPr="00C55F2E">
        <w:t xml:space="preserve">You can then import </w:t>
      </w:r>
      <w:r w:rsidR="0053599D" w:rsidRPr="00C55F2E">
        <w:t>Change of Circumstance</w:t>
      </w:r>
      <w:r w:rsidRPr="00C55F2E">
        <w:t xml:space="preserve"> into SIS using the LLE File Imports – </w:t>
      </w:r>
      <w:r w:rsidR="0053599D" w:rsidRPr="00C55F2E">
        <w:t>CoC</w:t>
      </w:r>
      <w:r w:rsidRPr="00C55F2E">
        <w:t xml:space="preserve"> section. The files need to pass the validation steps to be successful. Please refer to online </w:t>
      </w:r>
      <w:r w:rsidRPr="00C55F2E">
        <w:lastRenderedPageBreak/>
        <w:t xml:space="preserve">technical specifications for detailed information on the file validations for importing data. The technical specification for the file import can be found on the </w:t>
      </w:r>
      <w:hyperlink r:id="rId37" w:history="1">
        <w:r w:rsidRPr="00F103F2">
          <w:rPr>
            <w:rStyle w:val="Hyperlink"/>
            <w:color w:val="0000FF"/>
          </w:rPr>
          <w:t>HE Gateway</w:t>
        </w:r>
      </w:hyperlink>
      <w:r w:rsidR="00F103F2">
        <w:t>.</w:t>
      </w:r>
    </w:p>
    <w:p w14:paraId="2490D88F" w14:textId="77777777" w:rsidR="007229C2" w:rsidRPr="00C55F2E" w:rsidRDefault="007229C2" w:rsidP="00903195">
      <w:pPr>
        <w:pStyle w:val="Heading2"/>
        <w:spacing w:before="240" w:after="240" w:line="247" w:lineRule="auto"/>
        <w:ind w:left="-6" w:hanging="11"/>
        <w:rPr>
          <w:rFonts w:ascii="Calibri" w:hAnsi="Calibri" w:cs="Calibri"/>
        </w:rPr>
      </w:pPr>
      <w:bookmarkStart w:id="19" w:name="_Toc225775752"/>
      <w:r w:rsidRPr="00C55F2E">
        <w:rPr>
          <w:rFonts w:ascii="Calibri" w:hAnsi="Calibri" w:cs="Calibri"/>
        </w:rPr>
        <w:t>Change of Circumstance terms</w:t>
      </w:r>
      <w:bookmarkEnd w:id="19"/>
      <w:r w:rsidRPr="00C55F2E">
        <w:rPr>
          <w:rFonts w:ascii="Calibri" w:hAnsi="Calibri" w:cs="Calibri"/>
        </w:rPr>
        <w:t xml:space="preserve"> </w:t>
      </w:r>
    </w:p>
    <w:p w14:paraId="63D0B479" w14:textId="2EC5F0D1" w:rsidR="007229C2" w:rsidRPr="00903195" w:rsidRDefault="00C418F9" w:rsidP="00860209">
      <w:pPr>
        <w:spacing w:line="247" w:lineRule="auto"/>
        <w:ind w:left="-6" w:hanging="11"/>
        <w:rPr>
          <w:b/>
          <w:bCs/>
        </w:rPr>
      </w:pPr>
      <w:r w:rsidRPr="00903195">
        <w:rPr>
          <w:b/>
          <w:bCs/>
        </w:rPr>
        <w:t>Course or Module Credit and Credit Value</w:t>
      </w:r>
    </w:p>
    <w:p w14:paraId="6C5AE1F6" w14:textId="14AD22EF" w:rsidR="00C418F9" w:rsidRPr="00C55F2E" w:rsidRDefault="00C418F9" w:rsidP="00860209">
      <w:pPr>
        <w:spacing w:line="247" w:lineRule="auto"/>
        <w:ind w:left="-6" w:hanging="11"/>
        <w:jc w:val="both"/>
      </w:pPr>
      <w:r w:rsidRPr="00C55F2E">
        <w:t>When submitting a CoC you will be required to note the number of credits and their associated credit value.</w:t>
      </w:r>
    </w:p>
    <w:p w14:paraId="3431A01F" w14:textId="77777777" w:rsidR="00C418F9" w:rsidRPr="00C55F2E" w:rsidRDefault="00C418F9" w:rsidP="00860209">
      <w:pPr>
        <w:spacing w:line="247" w:lineRule="auto"/>
        <w:ind w:left="-6" w:hanging="11"/>
        <w:jc w:val="both"/>
      </w:pPr>
    </w:p>
    <w:p w14:paraId="759B7FAB" w14:textId="77777777" w:rsidR="00C418F9" w:rsidRPr="00C55F2E" w:rsidRDefault="00C418F9" w:rsidP="00860209">
      <w:pPr>
        <w:spacing w:line="247" w:lineRule="auto"/>
        <w:ind w:left="-6" w:hanging="11"/>
        <w:jc w:val="both"/>
      </w:pPr>
      <w:r w:rsidRPr="00C55F2E">
        <w:t>The cost per-credit model under LLE allows providers to charge students in a way which closer reflects the learning undertaken by the student. For example, in instances of withdrawal, SLC expect providers to be best placed to determine the number of chargeable credits that they believe the student is liable for. </w:t>
      </w:r>
    </w:p>
    <w:p w14:paraId="58A86D95" w14:textId="77777777" w:rsidR="007229C2" w:rsidRPr="00C55F2E" w:rsidRDefault="007229C2" w:rsidP="00903195">
      <w:pPr>
        <w:pStyle w:val="Heading3"/>
        <w:spacing w:before="240" w:after="240" w:line="247" w:lineRule="auto"/>
        <w:ind w:left="-6" w:hanging="11"/>
        <w:rPr>
          <w:rFonts w:cs="Calibri"/>
        </w:rPr>
      </w:pPr>
      <w:r w:rsidRPr="00C55F2E">
        <w:rPr>
          <w:rFonts w:cs="Calibri"/>
        </w:rPr>
        <w:t xml:space="preserve">Withdrawal </w:t>
      </w:r>
    </w:p>
    <w:p w14:paraId="78917BED" w14:textId="77777777" w:rsidR="007229C2" w:rsidRPr="00C55F2E" w:rsidRDefault="007229C2" w:rsidP="00860209">
      <w:pPr>
        <w:spacing w:line="247" w:lineRule="auto"/>
        <w:ind w:left="-6" w:hanging="11"/>
        <w:jc w:val="both"/>
      </w:pPr>
      <w:r w:rsidRPr="00C55F2E">
        <w:t xml:space="preserve">A withdrawal refers to the point at which scheduled learning, teaching and assessment activities, and other active and on-going engagement end in agreement with the provider. </w:t>
      </w:r>
    </w:p>
    <w:p w14:paraId="004C1FE6" w14:textId="77777777" w:rsidR="007229C2" w:rsidRPr="00C55F2E" w:rsidRDefault="007229C2" w:rsidP="00860209">
      <w:pPr>
        <w:spacing w:line="247" w:lineRule="auto"/>
        <w:ind w:left="-6" w:hanging="11"/>
        <w:jc w:val="both"/>
      </w:pPr>
      <w:r w:rsidRPr="00C55F2E">
        <w:rPr>
          <w:i/>
        </w:rPr>
        <w:t xml:space="preserve"> </w:t>
      </w:r>
    </w:p>
    <w:p w14:paraId="03706425" w14:textId="56BC8A35" w:rsidR="007229C2" w:rsidRPr="00C55F2E" w:rsidRDefault="007229C2" w:rsidP="00860209">
      <w:pPr>
        <w:spacing w:line="247" w:lineRule="auto"/>
        <w:ind w:left="-6" w:hanging="11"/>
        <w:jc w:val="both"/>
      </w:pPr>
      <w:r w:rsidRPr="00C55F2E">
        <w:t>A Withdrawal CoC should be effective from the point at which a student’s scheduled learning, teaching and assessment activities and other active and ongoing engagement end in agreement with you. This is also referred to as the last day of attendance for the student. It also means the student does not intend to return. They will have no further obligation to pay fees to you. A withdrawal results in the termination of a student’s period of student finance eligibility</w:t>
      </w:r>
      <w:r w:rsidR="00447DC4" w:rsidRPr="00C55F2E">
        <w:t xml:space="preserve"> in respect of that course or module</w:t>
      </w:r>
      <w:r w:rsidRPr="00C55F2E">
        <w:t xml:space="preserve">. </w:t>
      </w:r>
    </w:p>
    <w:p w14:paraId="09BE8BA7" w14:textId="77777777" w:rsidR="007229C2" w:rsidRPr="00C55F2E" w:rsidRDefault="007229C2" w:rsidP="00860209">
      <w:pPr>
        <w:spacing w:line="247" w:lineRule="auto"/>
        <w:ind w:left="-6" w:hanging="11"/>
        <w:jc w:val="both"/>
      </w:pPr>
      <w:r w:rsidRPr="00C55F2E">
        <w:rPr>
          <w:sz w:val="23"/>
        </w:rPr>
        <w:t xml:space="preserve"> </w:t>
      </w:r>
    </w:p>
    <w:p w14:paraId="6E004DF5" w14:textId="77777777" w:rsidR="007229C2" w:rsidRPr="00C55F2E" w:rsidRDefault="007229C2" w:rsidP="00860209">
      <w:pPr>
        <w:spacing w:line="247" w:lineRule="auto"/>
        <w:ind w:left="-6" w:hanging="11"/>
        <w:jc w:val="both"/>
      </w:pPr>
      <w:r w:rsidRPr="00C55F2E">
        <w:t xml:space="preserve">The effective date of a Withdrawal CoC is the date of last attendance, which includes various forms of engagement according to the Attendance and Suspension definitions. </w:t>
      </w:r>
    </w:p>
    <w:p w14:paraId="659657CB" w14:textId="77777777" w:rsidR="007229C2" w:rsidRPr="00C55F2E" w:rsidRDefault="007229C2" w:rsidP="00903195">
      <w:pPr>
        <w:pStyle w:val="Heading3"/>
        <w:spacing w:before="240" w:after="240" w:line="247" w:lineRule="auto"/>
        <w:ind w:left="-6" w:hanging="11"/>
        <w:rPr>
          <w:rFonts w:cs="Calibri"/>
        </w:rPr>
      </w:pPr>
      <w:r w:rsidRPr="00C55F2E">
        <w:rPr>
          <w:rFonts w:cs="Calibri"/>
        </w:rPr>
        <w:t xml:space="preserve">Suspension </w:t>
      </w:r>
    </w:p>
    <w:p w14:paraId="13416AEE" w14:textId="32483966" w:rsidR="007229C2" w:rsidRPr="00C55F2E" w:rsidRDefault="007229C2" w:rsidP="00860209">
      <w:pPr>
        <w:spacing w:line="247" w:lineRule="auto"/>
        <w:ind w:left="-6" w:hanging="11"/>
        <w:jc w:val="both"/>
      </w:pPr>
      <w:r w:rsidRPr="00C55F2E">
        <w:t xml:space="preserve">A suspension is where a student, with the agreement of their provider, ceases to actively attend a </w:t>
      </w:r>
      <w:r w:rsidR="00680FE2" w:rsidRPr="00C55F2E">
        <w:t xml:space="preserve">module or </w:t>
      </w:r>
      <w:r w:rsidRPr="00C55F2E">
        <w:t xml:space="preserve">course, with the intention to return to the same </w:t>
      </w:r>
      <w:r w:rsidR="00680FE2" w:rsidRPr="00C55F2E">
        <w:t xml:space="preserve">module or </w:t>
      </w:r>
      <w:r w:rsidRPr="00C55F2E">
        <w:t xml:space="preserve">course later. </w:t>
      </w:r>
    </w:p>
    <w:p w14:paraId="4FAFEE8C" w14:textId="77777777" w:rsidR="007229C2" w:rsidRPr="00C55F2E" w:rsidRDefault="007229C2" w:rsidP="00860209">
      <w:pPr>
        <w:spacing w:line="247" w:lineRule="auto"/>
        <w:ind w:left="-6" w:hanging="11"/>
        <w:jc w:val="both"/>
      </w:pPr>
      <w:r w:rsidRPr="00C55F2E">
        <w:rPr>
          <w:i/>
          <w:sz w:val="23"/>
        </w:rPr>
        <w:t xml:space="preserve"> </w:t>
      </w:r>
    </w:p>
    <w:p w14:paraId="2B5F52A4" w14:textId="44CA0F11" w:rsidR="007229C2" w:rsidRPr="00C55F2E" w:rsidRDefault="007229C2" w:rsidP="00860209">
      <w:pPr>
        <w:spacing w:line="247" w:lineRule="auto"/>
        <w:ind w:left="-6" w:hanging="11"/>
        <w:jc w:val="both"/>
      </w:pPr>
      <w:r w:rsidRPr="00C55F2E">
        <w:t>A suspension will result in a reassessment of the student’s application, using the effective date of the Suspension CoC to review the tuition fee liability and pro-rata maintenance support. We will not make any further payments until you submit a Resumption CoC</w:t>
      </w:r>
      <w:r w:rsidR="72063EF0" w:rsidRPr="00C55F2E">
        <w:t>, unless exceptional circumstance</w:t>
      </w:r>
      <w:r w:rsidR="007537F5">
        <w:t xml:space="preserve"> </w:t>
      </w:r>
      <w:proofErr w:type="gramStart"/>
      <w:r w:rsidR="72063EF0" w:rsidRPr="00C55F2E">
        <w:t>app</w:t>
      </w:r>
      <w:r w:rsidR="003E4DB1">
        <w:t>l</w:t>
      </w:r>
      <w:r w:rsidR="72063EF0" w:rsidRPr="00C55F2E">
        <w:t>y</w:t>
      </w:r>
      <w:proofErr w:type="gramEnd"/>
      <w:r w:rsidRPr="00C55F2E">
        <w:t xml:space="preserve">. A student can </w:t>
      </w:r>
      <w:r w:rsidR="3F343EF2" w:rsidRPr="00C55F2E">
        <w:t xml:space="preserve">continue to </w:t>
      </w:r>
      <w:r w:rsidRPr="00C55F2E">
        <w:t xml:space="preserve">receive </w:t>
      </w:r>
      <w:r w:rsidR="3F343EF2" w:rsidRPr="00C55F2E">
        <w:t xml:space="preserve">maintenance </w:t>
      </w:r>
      <w:r w:rsidRPr="00C55F2E">
        <w:t>support if the suspension is for health reasons</w:t>
      </w:r>
      <w:r w:rsidR="479F1E31" w:rsidRPr="00C55F2E">
        <w:t>, or where it is considered appropriate to do so</w:t>
      </w:r>
      <w:r w:rsidR="5492EA73" w:rsidRPr="00C55F2E">
        <w:t>, for example, consideration of financial hardship</w:t>
      </w:r>
      <w:r w:rsidRPr="00C55F2E">
        <w:t xml:space="preserve">. As such a period of suspension is considered as a form of engagement and attendance to ensure the student can receive extra funding if they are suspended due to health reasons. It is important that there is a consistent approach when dealing with suspensions that progress into withdrawals regardless of whether the student has had support extended within this period; this ensures clarity on the process.  </w:t>
      </w:r>
    </w:p>
    <w:p w14:paraId="218132D4" w14:textId="77777777" w:rsidR="007229C2" w:rsidRPr="00C55F2E" w:rsidRDefault="007229C2" w:rsidP="00903195">
      <w:pPr>
        <w:pStyle w:val="Heading3"/>
        <w:spacing w:before="240" w:after="240" w:line="247" w:lineRule="auto"/>
        <w:ind w:left="-6" w:hanging="11"/>
        <w:rPr>
          <w:rFonts w:cs="Calibri"/>
        </w:rPr>
      </w:pPr>
      <w:r w:rsidRPr="00C55F2E">
        <w:rPr>
          <w:rFonts w:cs="Calibri"/>
        </w:rPr>
        <w:lastRenderedPageBreak/>
        <w:t xml:space="preserve">Resumption </w:t>
      </w:r>
    </w:p>
    <w:p w14:paraId="16A793F4" w14:textId="3BC52B9C" w:rsidR="007229C2" w:rsidRPr="00C55F2E" w:rsidRDefault="007229C2" w:rsidP="00860209">
      <w:pPr>
        <w:spacing w:line="247" w:lineRule="auto"/>
        <w:ind w:left="-6" w:hanging="11"/>
        <w:jc w:val="both"/>
      </w:pPr>
      <w:r w:rsidRPr="00C55F2E">
        <w:t xml:space="preserve">Resumption is where a student resumes attendance on a </w:t>
      </w:r>
      <w:r w:rsidR="00B10F91" w:rsidRPr="00C55F2E">
        <w:t xml:space="preserve">module or </w:t>
      </w:r>
      <w:r w:rsidRPr="00C55F2E">
        <w:t xml:space="preserve">course they have previously suspended from, with the approval of their </w:t>
      </w:r>
      <w:r w:rsidR="00B10F91" w:rsidRPr="00C55F2E">
        <w:t>HEP</w:t>
      </w:r>
      <w:r w:rsidRPr="00C55F2E">
        <w:t xml:space="preserve">. A student can resume study at any time after they have suspended, within the same </w:t>
      </w:r>
      <w:r w:rsidR="0052224B" w:rsidRPr="00C55F2E">
        <w:t xml:space="preserve">course </w:t>
      </w:r>
      <w:r w:rsidRPr="00C55F2E">
        <w:t xml:space="preserve">year or in a later </w:t>
      </w:r>
      <w:r w:rsidR="0052224B" w:rsidRPr="00C55F2E">
        <w:t xml:space="preserve">course </w:t>
      </w:r>
      <w:r w:rsidRPr="00C55F2E">
        <w:t xml:space="preserve">year. </w:t>
      </w:r>
    </w:p>
    <w:p w14:paraId="35E3BD1A" w14:textId="77777777" w:rsidR="007229C2" w:rsidRPr="00C55F2E" w:rsidRDefault="007229C2" w:rsidP="00860209">
      <w:pPr>
        <w:spacing w:line="247" w:lineRule="auto"/>
        <w:ind w:left="-6" w:hanging="11"/>
        <w:jc w:val="both"/>
      </w:pPr>
      <w:r w:rsidRPr="00C55F2E">
        <w:rPr>
          <w:sz w:val="23"/>
        </w:rPr>
        <w:t xml:space="preserve"> </w:t>
      </w:r>
    </w:p>
    <w:p w14:paraId="3BD9134C" w14:textId="77777777" w:rsidR="00DA002A" w:rsidRPr="00C55F2E" w:rsidRDefault="002206A1" w:rsidP="00860209">
      <w:pPr>
        <w:pStyle w:val="Heading3"/>
        <w:spacing w:before="0" w:after="3" w:line="247" w:lineRule="auto"/>
        <w:ind w:left="-6" w:hanging="11"/>
        <w:jc w:val="both"/>
        <w:rPr>
          <w:rFonts w:eastAsia="Calibri" w:cs="Calibri"/>
          <w:color w:val="000000"/>
          <w:sz w:val="24"/>
          <w:szCs w:val="24"/>
        </w:rPr>
      </w:pPr>
      <w:r w:rsidRPr="00C55F2E">
        <w:rPr>
          <w:rFonts w:eastAsia="Calibri" w:cs="Calibri"/>
          <w:color w:val="000000"/>
          <w:sz w:val="24"/>
          <w:szCs w:val="24"/>
        </w:rPr>
        <w:t>Where a period of suspension exceeds two years and results in a student’s Po</w:t>
      </w:r>
      <w:r w:rsidR="000A4AE5" w:rsidRPr="00C55F2E">
        <w:rPr>
          <w:rFonts w:eastAsia="Calibri" w:cs="Calibri"/>
          <w:color w:val="000000"/>
          <w:sz w:val="24"/>
          <w:szCs w:val="24"/>
        </w:rPr>
        <w:t xml:space="preserve">E </w:t>
      </w:r>
      <w:r w:rsidRPr="00C55F2E">
        <w:rPr>
          <w:rFonts w:eastAsia="Calibri" w:cs="Calibri"/>
          <w:color w:val="000000"/>
          <w:sz w:val="24"/>
          <w:szCs w:val="24"/>
        </w:rPr>
        <w:t xml:space="preserve">being terminated, </w:t>
      </w:r>
      <w:proofErr w:type="gramStart"/>
      <w:r w:rsidRPr="00C55F2E">
        <w:rPr>
          <w:rFonts w:eastAsia="Calibri" w:cs="Calibri"/>
          <w:color w:val="000000"/>
          <w:sz w:val="24"/>
          <w:szCs w:val="24"/>
        </w:rPr>
        <w:t>If</w:t>
      </w:r>
      <w:proofErr w:type="gramEnd"/>
      <w:r w:rsidRPr="00C55F2E">
        <w:rPr>
          <w:rFonts w:eastAsia="Calibri" w:cs="Calibri"/>
          <w:color w:val="000000"/>
          <w:sz w:val="24"/>
          <w:szCs w:val="24"/>
        </w:rPr>
        <w:t xml:space="preserve"> a student and provider can submit compelling evidence to demonstrate why it was reasonable that the student’s suspension was greater than 2 years, the student’s original PoE may be subsequently reinstated upon resumption of study.</w:t>
      </w:r>
      <w:r w:rsidRPr="00C55F2E" w:rsidDel="002206A1">
        <w:rPr>
          <w:rFonts w:eastAsia="Calibri" w:cs="Calibri"/>
          <w:color w:val="000000"/>
          <w:sz w:val="24"/>
          <w:szCs w:val="24"/>
        </w:rPr>
        <w:t xml:space="preserve"> </w:t>
      </w:r>
    </w:p>
    <w:p w14:paraId="4A9433ED" w14:textId="7E591DCC" w:rsidR="007229C2" w:rsidRPr="00C55F2E" w:rsidRDefault="007229C2" w:rsidP="00903195">
      <w:pPr>
        <w:pStyle w:val="Heading3"/>
        <w:spacing w:before="240" w:after="240" w:line="247" w:lineRule="auto"/>
        <w:ind w:left="-6" w:hanging="11"/>
        <w:rPr>
          <w:rFonts w:cs="Calibri"/>
        </w:rPr>
      </w:pPr>
      <w:r w:rsidRPr="00C55F2E">
        <w:rPr>
          <w:rFonts w:cs="Calibri"/>
        </w:rPr>
        <w:t xml:space="preserve">Transfer </w:t>
      </w:r>
    </w:p>
    <w:p w14:paraId="2D548B37" w14:textId="272A848E" w:rsidR="007229C2" w:rsidRPr="00C55F2E" w:rsidRDefault="007229C2" w:rsidP="00860209">
      <w:pPr>
        <w:spacing w:line="247" w:lineRule="auto"/>
        <w:ind w:left="-6" w:hanging="11"/>
        <w:jc w:val="both"/>
      </w:pPr>
      <w:r w:rsidRPr="00C55F2E">
        <w:t xml:space="preserve">A transfer is where a student ceases to attend </w:t>
      </w:r>
      <w:r w:rsidR="006C3CCC" w:rsidRPr="00C55F2E">
        <w:t xml:space="preserve">a module or </w:t>
      </w:r>
      <w:r w:rsidRPr="00C55F2E">
        <w:t xml:space="preserve">course and starts to attend another </w:t>
      </w:r>
      <w:r w:rsidR="006C3CCC" w:rsidRPr="00C55F2E">
        <w:t xml:space="preserve">module or </w:t>
      </w:r>
      <w:r w:rsidRPr="00C55F2E">
        <w:t xml:space="preserve">course, either at the same </w:t>
      </w:r>
      <w:r w:rsidR="00C95657" w:rsidRPr="00C55F2E">
        <w:t>HEP</w:t>
      </w:r>
      <w:r w:rsidRPr="00C55F2E">
        <w:t>, or a different one</w:t>
      </w:r>
      <w:r w:rsidR="00193CA4" w:rsidRPr="00C55F2E">
        <w:t xml:space="preserve"> and continues their period of eligibility.</w:t>
      </w:r>
      <w:r w:rsidRPr="00C55F2E">
        <w:t xml:space="preserve"> To be considered a transfer</w:t>
      </w:r>
      <w:r w:rsidR="00303D9E" w:rsidRPr="00C55F2E">
        <w:t>,</w:t>
      </w:r>
      <w:r w:rsidRPr="00C55F2E">
        <w:t xml:space="preserve"> the student must communicate to you their intent to change </w:t>
      </w:r>
      <w:r w:rsidR="00C95657" w:rsidRPr="00C55F2E">
        <w:t xml:space="preserve">module or </w:t>
      </w:r>
      <w:r w:rsidRPr="00C55F2E">
        <w:t xml:space="preserve">course. </w:t>
      </w:r>
    </w:p>
    <w:p w14:paraId="1F6D9373" w14:textId="77777777" w:rsidR="007229C2" w:rsidRPr="00C55F2E" w:rsidRDefault="007229C2" w:rsidP="00860209">
      <w:pPr>
        <w:spacing w:line="247" w:lineRule="auto"/>
        <w:ind w:left="-6" w:hanging="11"/>
        <w:jc w:val="both"/>
      </w:pPr>
      <w:r w:rsidRPr="00C55F2E">
        <w:t xml:space="preserve"> </w:t>
      </w:r>
    </w:p>
    <w:p w14:paraId="49BE6DC8" w14:textId="0B504C64" w:rsidR="007229C2" w:rsidRPr="00C55F2E" w:rsidRDefault="007229C2" w:rsidP="00860209">
      <w:pPr>
        <w:spacing w:line="247" w:lineRule="auto"/>
        <w:ind w:left="-6" w:hanging="11"/>
        <w:jc w:val="both"/>
      </w:pPr>
      <w:r w:rsidRPr="00C55F2E">
        <w:t xml:space="preserve">The definition includes reference to communication of the student’s intention to transfer for the purposes of where the individual wishes to change to a new provider for </w:t>
      </w:r>
      <w:r w:rsidR="008235C7" w:rsidRPr="00C55F2E">
        <w:t xml:space="preserve">a course year in </w:t>
      </w:r>
      <w:r w:rsidRPr="00C55F2E">
        <w:t xml:space="preserve">the next academic year. This links to the abandonment definition where this communication is absent. </w:t>
      </w:r>
    </w:p>
    <w:p w14:paraId="23D12494" w14:textId="77777777" w:rsidR="007229C2" w:rsidRPr="00C55F2E" w:rsidRDefault="007229C2" w:rsidP="00903195">
      <w:pPr>
        <w:pStyle w:val="Heading3"/>
        <w:spacing w:before="240" w:after="240" w:line="247" w:lineRule="auto"/>
        <w:ind w:left="-6" w:hanging="11"/>
        <w:rPr>
          <w:rFonts w:cs="Calibri"/>
        </w:rPr>
      </w:pPr>
      <w:r w:rsidRPr="00C55F2E">
        <w:rPr>
          <w:rFonts w:cs="Calibri"/>
        </w:rPr>
        <w:t xml:space="preserve">Abandonment </w:t>
      </w:r>
    </w:p>
    <w:p w14:paraId="0B550AA2" w14:textId="67C679FA" w:rsidR="007229C2" w:rsidRPr="00C55F2E" w:rsidRDefault="48005146" w:rsidP="00860209">
      <w:pPr>
        <w:spacing w:line="247" w:lineRule="auto"/>
        <w:ind w:left="-6" w:hanging="11"/>
        <w:jc w:val="both"/>
      </w:pPr>
      <w:r w:rsidRPr="00C55F2E">
        <w:t xml:space="preserve">Abandonment is where a student does not return to a later </w:t>
      </w:r>
      <w:r w:rsidR="3FAA8167" w:rsidRPr="00C55F2E">
        <w:t xml:space="preserve">course </w:t>
      </w:r>
      <w:r w:rsidRPr="00C55F2E">
        <w:t xml:space="preserve">year of an eligible </w:t>
      </w:r>
      <w:r w:rsidR="7E9FB77E" w:rsidRPr="00C55F2E">
        <w:t xml:space="preserve">module or </w:t>
      </w:r>
      <w:r w:rsidRPr="00C55F2E">
        <w:t xml:space="preserve">course without notifying their </w:t>
      </w:r>
      <w:r w:rsidR="7E9FB77E" w:rsidRPr="00C55F2E">
        <w:t>HEP</w:t>
      </w:r>
      <w:r w:rsidRPr="00C55F2E">
        <w:t xml:space="preserve">. </w:t>
      </w:r>
    </w:p>
    <w:p w14:paraId="58859BCD" w14:textId="77777777" w:rsidR="007229C2" w:rsidRPr="00C55F2E" w:rsidRDefault="007229C2" w:rsidP="00860209">
      <w:pPr>
        <w:spacing w:line="247" w:lineRule="auto"/>
        <w:ind w:left="-6" w:hanging="11"/>
        <w:jc w:val="both"/>
      </w:pPr>
      <w:r w:rsidRPr="00C55F2E">
        <w:rPr>
          <w:sz w:val="23"/>
        </w:rPr>
        <w:t xml:space="preserve"> </w:t>
      </w:r>
    </w:p>
    <w:p w14:paraId="18B6F518" w14:textId="368C0A7C" w:rsidR="007229C2" w:rsidRPr="00C55F2E" w:rsidRDefault="007229C2" w:rsidP="00860209">
      <w:pPr>
        <w:spacing w:line="247" w:lineRule="auto"/>
        <w:ind w:left="-6" w:hanging="11"/>
        <w:jc w:val="both"/>
      </w:pPr>
      <w:r w:rsidRPr="00C55F2E">
        <w:t xml:space="preserve">This term is intended only for those students who do not return to study after completing a full </w:t>
      </w:r>
      <w:r w:rsidR="00B04DF6" w:rsidRPr="00C55F2E">
        <w:t xml:space="preserve">course </w:t>
      </w:r>
      <w:r w:rsidRPr="00C55F2E">
        <w:t xml:space="preserve">year, and do not inform their </w:t>
      </w:r>
      <w:r w:rsidR="00B04DF6" w:rsidRPr="00C55F2E">
        <w:t>HEP</w:t>
      </w:r>
      <w:r w:rsidRPr="00C55F2E">
        <w:t xml:space="preserve"> of a change. For this reason, abandonment is considered a termination of a student’s period of eligibility. If the student wishes to return to study in the future, they will be considered a new student. Where a student is transferring to a new provider for a subsequent </w:t>
      </w:r>
      <w:r w:rsidR="00B04DF6" w:rsidRPr="00C55F2E">
        <w:t xml:space="preserve">course </w:t>
      </w:r>
      <w:r w:rsidRPr="00C55F2E">
        <w:t xml:space="preserve">year, this does not fit the definition of abandonment, but the student should have informed you of the intended change. </w:t>
      </w:r>
    </w:p>
    <w:p w14:paraId="3DE56998" w14:textId="77777777" w:rsidR="007229C2" w:rsidRPr="00C55F2E" w:rsidRDefault="007229C2" w:rsidP="00860209">
      <w:pPr>
        <w:spacing w:line="247" w:lineRule="auto"/>
        <w:ind w:left="-6" w:hanging="11"/>
        <w:jc w:val="both"/>
      </w:pPr>
      <w:r w:rsidRPr="00C55F2E">
        <w:t xml:space="preserve"> </w:t>
      </w:r>
    </w:p>
    <w:p w14:paraId="2510B7D3" w14:textId="1CC72C69" w:rsidR="007229C2" w:rsidRPr="00C55F2E" w:rsidRDefault="00766229" w:rsidP="00860209">
      <w:pPr>
        <w:spacing w:line="247" w:lineRule="auto"/>
        <w:ind w:left="-6" w:hanging="11"/>
        <w:jc w:val="both"/>
      </w:pPr>
      <w:r w:rsidRPr="00C55F2E">
        <w:t xml:space="preserve">Please refer to </w:t>
      </w:r>
      <w:r w:rsidR="000A7821">
        <w:t xml:space="preserve">the </w:t>
      </w:r>
      <w:hyperlink r:id="rId38" w:history="1">
        <w:r w:rsidR="000A7821" w:rsidRPr="00F103F2">
          <w:rPr>
            <w:rStyle w:val="Hyperlink"/>
            <w:color w:val="0000FF"/>
          </w:rPr>
          <w:t>Withdrawal CoC guidance</w:t>
        </w:r>
      </w:hyperlink>
      <w:r w:rsidR="000A7821">
        <w:t xml:space="preserve"> </w:t>
      </w:r>
      <w:r w:rsidRPr="00C55F2E">
        <w:t>for students not returning</w:t>
      </w:r>
      <w:r w:rsidR="000A7821">
        <w:t>.</w:t>
      </w:r>
    </w:p>
    <w:p w14:paraId="0D68D7B2" w14:textId="300104F4" w:rsidR="007229C2" w:rsidRPr="00C55F2E" w:rsidRDefault="007229C2" w:rsidP="00860209">
      <w:pPr>
        <w:spacing w:line="247" w:lineRule="auto"/>
        <w:ind w:left="-6" w:hanging="11"/>
      </w:pPr>
    </w:p>
    <w:p w14:paraId="7BF86E6B" w14:textId="77777777" w:rsidR="007229C2" w:rsidRPr="00C55F2E" w:rsidRDefault="007229C2" w:rsidP="00903195">
      <w:pPr>
        <w:pStyle w:val="Heading2"/>
        <w:spacing w:before="240" w:after="240" w:line="247" w:lineRule="auto"/>
        <w:ind w:left="-6" w:hanging="11"/>
        <w:rPr>
          <w:rFonts w:ascii="Calibri" w:hAnsi="Calibri" w:cs="Calibri"/>
        </w:rPr>
      </w:pPr>
      <w:bookmarkStart w:id="20" w:name="_Toc225775753"/>
      <w:r w:rsidRPr="00C55F2E">
        <w:rPr>
          <w:rFonts w:ascii="Calibri" w:hAnsi="Calibri" w:cs="Calibri"/>
        </w:rPr>
        <w:t>Automated CoC processing</w:t>
      </w:r>
      <w:bookmarkEnd w:id="20"/>
      <w:r w:rsidRPr="00C55F2E">
        <w:rPr>
          <w:rFonts w:ascii="Calibri" w:hAnsi="Calibri" w:cs="Calibri"/>
        </w:rPr>
        <w:t xml:space="preserve"> </w:t>
      </w:r>
    </w:p>
    <w:p w14:paraId="1FC6D64D" w14:textId="5CE1305A" w:rsidR="007229C2" w:rsidRPr="00C55F2E" w:rsidRDefault="007229C2" w:rsidP="00860209">
      <w:pPr>
        <w:spacing w:line="247" w:lineRule="auto"/>
        <w:ind w:left="-6" w:hanging="11"/>
      </w:pPr>
      <w:r w:rsidRPr="00C55F2E">
        <w:t xml:space="preserve">Our systems will automatically process some types of CoCs on submission via SIS. </w:t>
      </w:r>
    </w:p>
    <w:p w14:paraId="2A181287" w14:textId="77777777" w:rsidR="007229C2" w:rsidRPr="00C55F2E" w:rsidRDefault="007229C2" w:rsidP="00860209">
      <w:pPr>
        <w:spacing w:line="247" w:lineRule="auto"/>
        <w:ind w:left="-6" w:hanging="11"/>
      </w:pPr>
      <w:r w:rsidRPr="00C55F2E">
        <w:rPr>
          <w:sz w:val="23"/>
        </w:rPr>
        <w:t xml:space="preserve"> </w:t>
      </w:r>
    </w:p>
    <w:p w14:paraId="788B949D" w14:textId="55AEF1E2" w:rsidR="007229C2" w:rsidRPr="00C55F2E" w:rsidRDefault="007229C2" w:rsidP="00860209">
      <w:pPr>
        <w:spacing w:line="247" w:lineRule="auto"/>
        <w:ind w:left="-6" w:hanging="11"/>
      </w:pPr>
      <w:r w:rsidRPr="00C55F2E">
        <w:t xml:space="preserve">Below is a list of exceptions where we </w:t>
      </w:r>
      <w:r w:rsidR="0003742A" w:rsidRPr="00C55F2E">
        <w:t xml:space="preserve">might not be able to </w:t>
      </w:r>
      <w:r w:rsidRPr="00C55F2E">
        <w:t xml:space="preserve">process the CoC automatically and we </w:t>
      </w:r>
      <w:r w:rsidR="0003742A" w:rsidRPr="00C55F2E">
        <w:t xml:space="preserve">will need to </w:t>
      </w:r>
      <w:r w:rsidRPr="00C55F2E">
        <w:t xml:space="preserve">process it manually: </w:t>
      </w:r>
    </w:p>
    <w:p w14:paraId="1DD1477E" w14:textId="77777777" w:rsidR="007229C2" w:rsidRPr="00C55F2E" w:rsidRDefault="007229C2" w:rsidP="00860209">
      <w:pPr>
        <w:spacing w:line="247" w:lineRule="auto"/>
        <w:ind w:left="-6" w:hanging="11"/>
      </w:pPr>
      <w:r w:rsidRPr="00C55F2E">
        <w:rPr>
          <w:sz w:val="23"/>
        </w:rPr>
        <w:t xml:space="preserve"> </w:t>
      </w:r>
    </w:p>
    <w:p w14:paraId="00B07B61" w14:textId="77777777" w:rsidR="007229C2" w:rsidRPr="00C55F2E" w:rsidRDefault="007229C2" w:rsidP="00903195">
      <w:pPr>
        <w:numPr>
          <w:ilvl w:val="0"/>
          <w:numId w:val="14"/>
        </w:numPr>
        <w:spacing w:line="247" w:lineRule="auto"/>
        <w:ind w:left="738" w:hanging="454"/>
      </w:pPr>
      <w:r w:rsidRPr="00C55F2E">
        <w:t xml:space="preserve">the CoC contains a notepad entry </w:t>
      </w:r>
    </w:p>
    <w:p w14:paraId="0D79DA1C" w14:textId="77777777" w:rsidR="007229C2" w:rsidRPr="00C55F2E" w:rsidRDefault="007229C2" w:rsidP="00903195">
      <w:pPr>
        <w:numPr>
          <w:ilvl w:val="0"/>
          <w:numId w:val="14"/>
        </w:numPr>
        <w:spacing w:line="247" w:lineRule="auto"/>
        <w:ind w:left="738" w:hanging="454"/>
      </w:pPr>
      <w:r w:rsidRPr="00C55F2E">
        <w:lastRenderedPageBreak/>
        <w:t xml:space="preserve">the student is deceased </w:t>
      </w:r>
    </w:p>
    <w:p w14:paraId="16B11B8C" w14:textId="77777777" w:rsidR="007229C2" w:rsidRPr="00C55F2E" w:rsidRDefault="007229C2" w:rsidP="00903195">
      <w:pPr>
        <w:numPr>
          <w:ilvl w:val="0"/>
          <w:numId w:val="14"/>
        </w:numPr>
        <w:spacing w:line="247" w:lineRule="auto"/>
        <w:ind w:left="738" w:hanging="454"/>
      </w:pPr>
      <w:r w:rsidRPr="00C55F2E">
        <w:t xml:space="preserve">the cohort has been changed </w:t>
      </w:r>
    </w:p>
    <w:p w14:paraId="237A91C1" w14:textId="77777777" w:rsidR="007229C2" w:rsidRPr="00C55F2E" w:rsidRDefault="007229C2" w:rsidP="00903195">
      <w:pPr>
        <w:numPr>
          <w:ilvl w:val="0"/>
          <w:numId w:val="14"/>
        </w:numPr>
        <w:spacing w:line="247" w:lineRule="auto"/>
        <w:ind w:left="738" w:hanging="454"/>
      </w:pPr>
      <w:r w:rsidRPr="00C55F2E">
        <w:t xml:space="preserve">a manual assessment has been undertaken on the student’s application </w:t>
      </w:r>
    </w:p>
    <w:p w14:paraId="30366AAD" w14:textId="77777777" w:rsidR="007229C2" w:rsidRPr="00C55F2E" w:rsidRDefault="007229C2" w:rsidP="00903195">
      <w:pPr>
        <w:numPr>
          <w:ilvl w:val="0"/>
          <w:numId w:val="14"/>
        </w:numPr>
        <w:spacing w:line="247" w:lineRule="auto"/>
        <w:ind w:left="738" w:hanging="454"/>
      </w:pPr>
      <w:r w:rsidRPr="00C55F2E">
        <w:t xml:space="preserve">the internal transfer date is after the course start date </w:t>
      </w:r>
    </w:p>
    <w:p w14:paraId="32A72A9B" w14:textId="77777777" w:rsidR="007229C2" w:rsidRPr="00C55F2E" w:rsidRDefault="007229C2" w:rsidP="00903195">
      <w:pPr>
        <w:numPr>
          <w:ilvl w:val="0"/>
          <w:numId w:val="14"/>
        </w:numPr>
        <w:spacing w:line="247" w:lineRule="auto"/>
        <w:ind w:left="738" w:hanging="454"/>
      </w:pPr>
      <w:r w:rsidRPr="00C55F2E">
        <w:t xml:space="preserve">the provider submitting the CoC differs from the previously assessed provider </w:t>
      </w:r>
    </w:p>
    <w:p w14:paraId="521A3D88" w14:textId="77777777" w:rsidR="007229C2" w:rsidRPr="00C55F2E" w:rsidRDefault="007229C2" w:rsidP="00903195">
      <w:pPr>
        <w:numPr>
          <w:ilvl w:val="0"/>
          <w:numId w:val="14"/>
        </w:numPr>
        <w:spacing w:line="247" w:lineRule="auto"/>
        <w:ind w:left="738" w:hanging="454"/>
      </w:pPr>
      <w:r w:rsidRPr="00C55F2E">
        <w:t xml:space="preserve">current year start date is blank </w:t>
      </w:r>
    </w:p>
    <w:p w14:paraId="53B77BF6" w14:textId="77777777" w:rsidR="007229C2" w:rsidRPr="00C55F2E" w:rsidRDefault="007229C2" w:rsidP="00903195">
      <w:pPr>
        <w:numPr>
          <w:ilvl w:val="0"/>
          <w:numId w:val="14"/>
        </w:numPr>
        <w:spacing w:line="247" w:lineRule="auto"/>
        <w:ind w:left="738" w:hanging="454"/>
      </w:pPr>
      <w:r w:rsidRPr="00C55F2E">
        <w:t xml:space="preserve">withdrawal date is in the future </w:t>
      </w:r>
    </w:p>
    <w:p w14:paraId="411B5D97" w14:textId="77777777" w:rsidR="007229C2" w:rsidRPr="00C55F2E" w:rsidRDefault="007229C2" w:rsidP="00903195">
      <w:pPr>
        <w:numPr>
          <w:ilvl w:val="0"/>
          <w:numId w:val="14"/>
        </w:numPr>
        <w:spacing w:line="247" w:lineRule="auto"/>
        <w:ind w:left="738" w:hanging="454"/>
      </w:pPr>
      <w:r w:rsidRPr="00C55F2E">
        <w:t xml:space="preserve">academic approval is not set to Y </w:t>
      </w:r>
    </w:p>
    <w:p w14:paraId="51E23FCC" w14:textId="77777777" w:rsidR="007229C2" w:rsidRPr="00C55F2E" w:rsidRDefault="007229C2" w:rsidP="00903195">
      <w:pPr>
        <w:numPr>
          <w:ilvl w:val="0"/>
          <w:numId w:val="14"/>
        </w:numPr>
        <w:spacing w:line="247" w:lineRule="auto"/>
        <w:ind w:left="738" w:hanging="454"/>
      </w:pPr>
      <w:r w:rsidRPr="00C55F2E">
        <w:t xml:space="preserve">course year on the CoC differs from the previously assessed course year </w:t>
      </w:r>
    </w:p>
    <w:p w14:paraId="6FB65C0F" w14:textId="77777777" w:rsidR="007229C2" w:rsidRPr="00C55F2E" w:rsidRDefault="007229C2" w:rsidP="00903195">
      <w:pPr>
        <w:numPr>
          <w:ilvl w:val="0"/>
          <w:numId w:val="14"/>
        </w:numPr>
        <w:spacing w:line="247" w:lineRule="auto"/>
        <w:ind w:left="738" w:hanging="454"/>
      </w:pPr>
      <w:r w:rsidRPr="00C55F2E">
        <w:t xml:space="preserve">withdrawal date is before the start of the course or there is no course name entered on the CoC </w:t>
      </w:r>
    </w:p>
    <w:p w14:paraId="59C6F06A" w14:textId="77777777" w:rsidR="007229C2" w:rsidRPr="00C55F2E" w:rsidRDefault="007229C2" w:rsidP="00903195">
      <w:pPr>
        <w:pStyle w:val="Heading1"/>
        <w:spacing w:before="240" w:after="240" w:line="247" w:lineRule="auto"/>
        <w:ind w:left="-6" w:hanging="11"/>
        <w:rPr>
          <w:rFonts w:ascii="Calibri" w:hAnsi="Calibri" w:cs="Calibri"/>
        </w:rPr>
      </w:pPr>
      <w:bookmarkStart w:id="21" w:name="_Toc225775754"/>
      <w:r w:rsidRPr="00C55F2E">
        <w:rPr>
          <w:rFonts w:ascii="Calibri" w:hAnsi="Calibri" w:cs="Calibri"/>
        </w:rPr>
        <w:t>Financial reporting</w:t>
      </w:r>
      <w:bookmarkEnd w:id="21"/>
      <w:r w:rsidRPr="00C55F2E">
        <w:rPr>
          <w:rFonts w:ascii="Calibri" w:hAnsi="Calibri" w:cs="Calibri"/>
        </w:rPr>
        <w:t xml:space="preserve"> </w:t>
      </w:r>
    </w:p>
    <w:p w14:paraId="271F49A0" w14:textId="52E9A8D1" w:rsidR="007229C2" w:rsidRPr="00C55F2E" w:rsidRDefault="007229C2" w:rsidP="00860209">
      <w:pPr>
        <w:spacing w:line="247" w:lineRule="auto"/>
        <w:ind w:left="-6" w:hanging="11"/>
      </w:pPr>
      <w:r w:rsidRPr="00C55F2E">
        <w:t xml:space="preserve">In the </w:t>
      </w:r>
      <w:r w:rsidR="004D2925" w:rsidRPr="00C55F2E">
        <w:t xml:space="preserve">LLE </w:t>
      </w:r>
      <w:r w:rsidRPr="00C55F2E">
        <w:t xml:space="preserve">Financial Reports section of </w:t>
      </w:r>
      <w:proofErr w:type="gramStart"/>
      <w:r w:rsidRPr="00C55F2E">
        <w:t>SIS</w:t>
      </w:r>
      <w:proofErr w:type="gramEnd"/>
      <w:r w:rsidRPr="00C55F2E">
        <w:t xml:space="preserve"> you can view: </w:t>
      </w:r>
    </w:p>
    <w:p w14:paraId="76583572" w14:textId="77777777" w:rsidR="007229C2" w:rsidRPr="00C55F2E" w:rsidRDefault="007229C2" w:rsidP="00903195">
      <w:pPr>
        <w:numPr>
          <w:ilvl w:val="0"/>
          <w:numId w:val="16"/>
        </w:numPr>
        <w:spacing w:line="247" w:lineRule="auto"/>
        <w:ind w:left="738" w:hanging="454"/>
      </w:pPr>
      <w:r w:rsidRPr="00C55F2E">
        <w:t xml:space="preserve">the Tuition Fee Forecast report  </w:t>
      </w:r>
    </w:p>
    <w:p w14:paraId="31074AB4" w14:textId="77777777" w:rsidR="007229C2" w:rsidRPr="00C55F2E" w:rsidRDefault="007229C2" w:rsidP="00903195">
      <w:pPr>
        <w:numPr>
          <w:ilvl w:val="0"/>
          <w:numId w:val="16"/>
        </w:numPr>
        <w:spacing w:line="247" w:lineRule="auto"/>
        <w:ind w:left="738" w:hanging="454"/>
      </w:pPr>
      <w:r w:rsidRPr="00C55F2E">
        <w:t xml:space="preserve">the Tuition Fee Balance report </w:t>
      </w:r>
    </w:p>
    <w:p w14:paraId="7FC9B1A1" w14:textId="77777777" w:rsidR="007229C2" w:rsidRPr="00C55F2E" w:rsidRDefault="007229C2" w:rsidP="00903195">
      <w:pPr>
        <w:numPr>
          <w:ilvl w:val="0"/>
          <w:numId w:val="16"/>
        </w:numPr>
        <w:spacing w:line="247" w:lineRule="auto"/>
        <w:ind w:left="738" w:hanging="454"/>
      </w:pPr>
      <w:r w:rsidRPr="00C55F2E">
        <w:t xml:space="preserve">the Tuition Fee Remittance report </w:t>
      </w:r>
    </w:p>
    <w:p w14:paraId="65B08CB8" w14:textId="77777777" w:rsidR="00F97F4A" w:rsidRPr="00C55F2E" w:rsidRDefault="007229C2" w:rsidP="00903195">
      <w:pPr>
        <w:numPr>
          <w:ilvl w:val="0"/>
          <w:numId w:val="16"/>
        </w:numPr>
        <w:spacing w:line="247" w:lineRule="auto"/>
        <w:ind w:left="738" w:hanging="454"/>
      </w:pPr>
      <w:r w:rsidRPr="00C55F2E">
        <w:t>the Blocked Maintenance Payments report</w:t>
      </w:r>
    </w:p>
    <w:p w14:paraId="46D18C99" w14:textId="53EE019B" w:rsidR="007229C2" w:rsidRPr="00C55F2E" w:rsidRDefault="00F97F4A" w:rsidP="00903195">
      <w:pPr>
        <w:numPr>
          <w:ilvl w:val="0"/>
          <w:numId w:val="16"/>
        </w:numPr>
        <w:spacing w:line="247" w:lineRule="auto"/>
        <w:ind w:left="738" w:hanging="454"/>
      </w:pPr>
      <w:r w:rsidRPr="00C55F2E">
        <w:t>Negative Balance Report</w:t>
      </w:r>
      <w:r w:rsidR="007229C2" w:rsidRPr="00C55F2E">
        <w:t xml:space="preserve"> </w:t>
      </w:r>
    </w:p>
    <w:p w14:paraId="700B93D5" w14:textId="77777777" w:rsidR="007229C2" w:rsidRPr="00C55F2E" w:rsidRDefault="007229C2" w:rsidP="00860209">
      <w:pPr>
        <w:spacing w:line="247" w:lineRule="auto"/>
        <w:ind w:left="-6" w:hanging="11"/>
      </w:pPr>
      <w:r w:rsidRPr="00C55F2E">
        <w:rPr>
          <w:sz w:val="23"/>
        </w:rPr>
        <w:t xml:space="preserve"> </w:t>
      </w:r>
    </w:p>
    <w:p w14:paraId="073352CF" w14:textId="56F290D1" w:rsidR="007229C2" w:rsidRPr="00C55F2E" w:rsidRDefault="007229C2" w:rsidP="00860209">
      <w:pPr>
        <w:spacing w:line="247" w:lineRule="auto"/>
        <w:ind w:left="-6" w:hanging="11"/>
        <w:jc w:val="both"/>
      </w:pPr>
      <w:r w:rsidRPr="00C55F2E">
        <w:t xml:space="preserve">The Tuition Fee Forecast Report is populated 40 days before the start of term and provides details of tuition fee payments which are scheduled to be paid to your </w:t>
      </w:r>
      <w:r w:rsidR="004D2925" w:rsidRPr="00C55F2E">
        <w:t>HEP</w:t>
      </w:r>
      <w:r w:rsidRPr="00C55F2E">
        <w:t>, from the 20</w:t>
      </w:r>
      <w:r w:rsidR="004D2925" w:rsidRPr="00C55F2E">
        <w:t>26</w:t>
      </w:r>
      <w:r w:rsidRPr="00C55F2E">
        <w:t>/</w:t>
      </w:r>
      <w:r w:rsidR="004D2925" w:rsidRPr="00C55F2E">
        <w:t>27</w:t>
      </w:r>
      <w:r w:rsidRPr="00C55F2E">
        <w:t xml:space="preserve"> </w:t>
      </w:r>
      <w:r w:rsidR="005A718E" w:rsidRPr="00C55F2E">
        <w:t xml:space="preserve">academic </w:t>
      </w:r>
      <w:r w:rsidR="001823A9" w:rsidRPr="00C55F2E">
        <w:t xml:space="preserve">year </w:t>
      </w:r>
      <w:r w:rsidRPr="00C55F2E">
        <w:t xml:space="preserve">onwards. </w:t>
      </w:r>
    </w:p>
    <w:p w14:paraId="56FC8F90" w14:textId="77777777" w:rsidR="007229C2" w:rsidRPr="00C55F2E" w:rsidRDefault="007229C2" w:rsidP="00860209">
      <w:pPr>
        <w:spacing w:line="247" w:lineRule="auto"/>
        <w:ind w:left="-6" w:hanging="11"/>
      </w:pPr>
      <w:r w:rsidRPr="00C55F2E">
        <w:rPr>
          <w:sz w:val="23"/>
        </w:rPr>
        <w:t xml:space="preserve"> </w:t>
      </w:r>
    </w:p>
    <w:p w14:paraId="321C6247" w14:textId="5029938D" w:rsidR="007229C2" w:rsidRPr="00C55F2E" w:rsidRDefault="007229C2" w:rsidP="00860209">
      <w:pPr>
        <w:spacing w:line="247" w:lineRule="auto"/>
        <w:ind w:left="-6" w:hanging="11"/>
        <w:jc w:val="both"/>
      </w:pPr>
      <w:r w:rsidRPr="00C55F2E">
        <w:t>The Tuition Fee Balance Report provides</w:t>
      </w:r>
      <w:r w:rsidR="00F97F4A" w:rsidRPr="00C55F2E">
        <w:t xml:space="preserve"> a </w:t>
      </w:r>
      <w:r w:rsidRPr="00C55F2E">
        <w:t xml:space="preserve">representation of the Tuition Fee Breakdown and Summary for a specific </w:t>
      </w:r>
      <w:r w:rsidR="004D2925" w:rsidRPr="00C55F2E">
        <w:t xml:space="preserve">course </w:t>
      </w:r>
      <w:r w:rsidRPr="00C55F2E">
        <w:t xml:space="preserve">year. The same information is also displayed in table format. The Tuition Fee Breakdown table shows the breakdown of Total Value of Fees Expected to be Paid. This page is view only and not exportable. </w:t>
      </w:r>
    </w:p>
    <w:p w14:paraId="05F304E7" w14:textId="77777777" w:rsidR="007229C2" w:rsidRPr="00C55F2E" w:rsidRDefault="007229C2" w:rsidP="00860209">
      <w:pPr>
        <w:spacing w:line="247" w:lineRule="auto"/>
        <w:ind w:left="-6" w:hanging="11"/>
      </w:pPr>
      <w:r w:rsidRPr="00C55F2E">
        <w:t xml:space="preserve"> </w:t>
      </w:r>
    </w:p>
    <w:p w14:paraId="570FD3DB" w14:textId="1D784F2D" w:rsidR="007229C2" w:rsidRPr="00C55F2E" w:rsidRDefault="007229C2" w:rsidP="00860209">
      <w:pPr>
        <w:spacing w:line="247" w:lineRule="auto"/>
        <w:ind w:left="-6" w:hanging="11"/>
        <w:jc w:val="both"/>
      </w:pPr>
      <w:r w:rsidRPr="00C55F2E">
        <w:t xml:space="preserve">The Remittance Report details the tuition fee payments made to your </w:t>
      </w:r>
      <w:r w:rsidR="004D2925" w:rsidRPr="00C55F2E">
        <w:t>HEP</w:t>
      </w:r>
      <w:r w:rsidRPr="00C55F2E">
        <w:t xml:space="preserve"> and is split out by payment type and </w:t>
      </w:r>
      <w:r w:rsidR="00045F88" w:rsidRPr="00C55F2E">
        <w:t xml:space="preserve">course </w:t>
      </w:r>
      <w:r w:rsidRPr="00C55F2E">
        <w:t xml:space="preserve">year. You can export the Remittance Report to your systems. </w:t>
      </w:r>
    </w:p>
    <w:p w14:paraId="153F4C68" w14:textId="77777777" w:rsidR="007229C2" w:rsidRPr="00C55F2E" w:rsidRDefault="007229C2" w:rsidP="00860209">
      <w:pPr>
        <w:spacing w:line="247" w:lineRule="auto"/>
        <w:ind w:left="-6" w:hanging="11"/>
      </w:pPr>
      <w:r w:rsidRPr="00C55F2E">
        <w:rPr>
          <w:sz w:val="23"/>
        </w:rPr>
        <w:t xml:space="preserve"> </w:t>
      </w:r>
    </w:p>
    <w:p w14:paraId="3862EF13" w14:textId="45D646CD" w:rsidR="007229C2" w:rsidRPr="00C55F2E" w:rsidRDefault="007229C2" w:rsidP="00860209">
      <w:pPr>
        <w:spacing w:line="247" w:lineRule="auto"/>
        <w:ind w:left="-6" w:hanging="11"/>
        <w:jc w:val="both"/>
      </w:pPr>
      <w:r w:rsidRPr="00C55F2E">
        <w:t xml:space="preserve">The Outstanding Online Declaration Report is a report of students who have applied online for student finance but have yet to return a signed declaration form. The report is available per </w:t>
      </w:r>
      <w:r w:rsidR="00045F88" w:rsidRPr="00C55F2E">
        <w:t xml:space="preserve">course </w:t>
      </w:r>
      <w:r w:rsidRPr="00C55F2E">
        <w:t>year from 20</w:t>
      </w:r>
      <w:r w:rsidR="00045F88" w:rsidRPr="00C55F2E">
        <w:t>26</w:t>
      </w:r>
      <w:r w:rsidRPr="00C55F2E">
        <w:t>/</w:t>
      </w:r>
      <w:r w:rsidR="00045F88" w:rsidRPr="00C55F2E">
        <w:t>27</w:t>
      </w:r>
      <w:r w:rsidRPr="00C55F2E">
        <w:t xml:space="preserve"> onwards. You can export this report to your systems. </w:t>
      </w:r>
    </w:p>
    <w:p w14:paraId="467A75B5" w14:textId="77777777" w:rsidR="007229C2" w:rsidRPr="00C55F2E" w:rsidRDefault="007229C2" w:rsidP="00860209">
      <w:pPr>
        <w:spacing w:line="247" w:lineRule="auto"/>
        <w:ind w:left="-6" w:hanging="11"/>
      </w:pPr>
      <w:r w:rsidRPr="00C55F2E">
        <w:t xml:space="preserve"> </w:t>
      </w:r>
    </w:p>
    <w:p w14:paraId="50DD3CEB" w14:textId="7ABC5DA8" w:rsidR="007229C2" w:rsidRPr="00C55F2E" w:rsidRDefault="007229C2" w:rsidP="00860209">
      <w:pPr>
        <w:spacing w:line="247" w:lineRule="auto"/>
        <w:ind w:left="-6" w:hanging="11"/>
        <w:jc w:val="both"/>
      </w:pPr>
      <w:r w:rsidRPr="00C55F2E">
        <w:t xml:space="preserve">The Blocked Maintenance Payments Report provides details of students whose maintenance or </w:t>
      </w:r>
      <w:r w:rsidR="00F50BA5" w:rsidRPr="00C55F2E">
        <w:t xml:space="preserve">supplementary grant </w:t>
      </w:r>
      <w:r w:rsidRPr="00C55F2E">
        <w:t xml:space="preserve">payments are blocked for a </w:t>
      </w:r>
      <w:r w:rsidR="00C62722" w:rsidRPr="00C55F2E">
        <w:t xml:space="preserve">course </w:t>
      </w:r>
      <w:r w:rsidRPr="00C55F2E">
        <w:t xml:space="preserve">year. It also shows the reasons why they have been blocked. This report is view only and you cannot export it. </w:t>
      </w:r>
      <w:r w:rsidRPr="00C55F2E">
        <w:rPr>
          <w:sz w:val="22"/>
        </w:rPr>
        <w:t xml:space="preserve">  </w:t>
      </w:r>
    </w:p>
    <w:p w14:paraId="4FB4AD14" w14:textId="77777777" w:rsidR="001F35D1" w:rsidRPr="00C55F2E" w:rsidRDefault="001F35D1" w:rsidP="00860209">
      <w:pPr>
        <w:spacing w:line="247" w:lineRule="auto"/>
        <w:ind w:left="-6" w:hanging="11"/>
        <w:rPr>
          <w:rFonts w:eastAsiaTheme="majorEastAsia"/>
          <w:color w:val="004747" w:themeColor="accent1" w:themeShade="BF"/>
          <w:sz w:val="40"/>
          <w:szCs w:val="40"/>
        </w:rPr>
      </w:pPr>
      <w:r w:rsidRPr="00C55F2E">
        <w:br w:type="page"/>
      </w:r>
    </w:p>
    <w:p w14:paraId="5276E800" w14:textId="4E9F48B2" w:rsidR="007229C2" w:rsidRPr="00C55F2E" w:rsidRDefault="007229C2" w:rsidP="007229C2">
      <w:pPr>
        <w:pStyle w:val="Heading1"/>
        <w:ind w:left="-5"/>
        <w:rPr>
          <w:rFonts w:ascii="Calibri" w:hAnsi="Calibri" w:cs="Calibri"/>
        </w:rPr>
      </w:pPr>
      <w:bookmarkStart w:id="22" w:name="_Toc225775755"/>
      <w:r w:rsidRPr="00C55F2E">
        <w:rPr>
          <w:rFonts w:ascii="Calibri" w:hAnsi="Calibri" w:cs="Calibri"/>
        </w:rPr>
        <w:lastRenderedPageBreak/>
        <w:t>Payment of tuition fees</w:t>
      </w:r>
      <w:bookmarkEnd w:id="22"/>
      <w:r w:rsidRPr="00C55F2E">
        <w:rPr>
          <w:rFonts w:ascii="Calibri" w:hAnsi="Calibri" w:cs="Calibri"/>
        </w:rPr>
        <w:t xml:space="preserve"> </w:t>
      </w:r>
    </w:p>
    <w:p w14:paraId="36AF1FAB" w14:textId="77777777" w:rsidR="007229C2" w:rsidRPr="00C55F2E" w:rsidRDefault="007229C2" w:rsidP="007229C2">
      <w:pPr>
        <w:spacing w:after="0" w:line="259" w:lineRule="auto"/>
        <w:ind w:left="0" w:firstLine="0"/>
      </w:pPr>
      <w:r w:rsidRPr="00C55F2E">
        <w:rPr>
          <w:sz w:val="28"/>
        </w:rPr>
        <w:t xml:space="preserve"> </w:t>
      </w:r>
    </w:p>
    <w:p w14:paraId="56DF0A82" w14:textId="372C1D47" w:rsidR="00136D41" w:rsidRPr="00C55F2E" w:rsidRDefault="007229C2" w:rsidP="007229C2">
      <w:pPr>
        <w:ind w:left="-5"/>
      </w:pPr>
      <w:r w:rsidRPr="00C55F2E">
        <w:t xml:space="preserve">Students’ tuition fee loan payment </w:t>
      </w:r>
      <w:r w:rsidR="00467875" w:rsidRPr="00C55F2E">
        <w:t xml:space="preserve">will be split </w:t>
      </w:r>
      <w:proofErr w:type="gramStart"/>
      <w:r w:rsidR="00136D41" w:rsidRPr="00C55F2E">
        <w:t>on the basis of</w:t>
      </w:r>
      <w:proofErr w:type="gramEnd"/>
      <w:r w:rsidR="00136D41" w:rsidRPr="00C55F2E">
        <w:t xml:space="preserve"> module or course duration, see table below:</w:t>
      </w:r>
    </w:p>
    <w:tbl>
      <w:tblPr>
        <w:tblStyle w:val="SLCTable"/>
        <w:tblW w:w="0" w:type="auto"/>
        <w:tblInd w:w="-5" w:type="dxa"/>
        <w:tblLook w:val="04A0" w:firstRow="1" w:lastRow="0" w:firstColumn="1" w:lastColumn="0" w:noHBand="0" w:noVBand="1"/>
      </w:tblPr>
      <w:tblGrid>
        <w:gridCol w:w="3209"/>
        <w:gridCol w:w="3209"/>
        <w:gridCol w:w="3210"/>
      </w:tblGrid>
      <w:tr w:rsidR="007B0281" w:rsidRPr="00C55F2E" w14:paraId="0D2C4E44" w14:textId="77777777" w:rsidTr="00A85810">
        <w:trPr>
          <w:cnfStyle w:val="100000000000" w:firstRow="1" w:lastRow="0" w:firstColumn="0" w:lastColumn="0" w:oddVBand="0" w:evenVBand="0" w:oddHBand="0" w:evenHBand="0" w:firstRowFirstColumn="0" w:firstRowLastColumn="0" w:lastRowFirstColumn="0" w:lastRowLastColumn="0"/>
        </w:trPr>
        <w:tc>
          <w:tcPr>
            <w:tcW w:w="3209" w:type="dxa"/>
            <w:vAlign w:val="bottom"/>
          </w:tcPr>
          <w:p w14:paraId="34637EE1" w14:textId="58DF2839" w:rsidR="007B0281" w:rsidRPr="00C55F2E" w:rsidRDefault="00A85810" w:rsidP="00643155">
            <w:pPr>
              <w:ind w:left="0" w:firstLine="0"/>
            </w:pPr>
            <w:r w:rsidRPr="00C55F2E">
              <w:t>Course year duration in days</w:t>
            </w:r>
            <w:r w:rsidR="00A249C6" w:rsidRPr="00C55F2E">
              <w:t>*</w:t>
            </w:r>
          </w:p>
        </w:tc>
        <w:tc>
          <w:tcPr>
            <w:tcW w:w="3209" w:type="dxa"/>
            <w:vAlign w:val="bottom"/>
          </w:tcPr>
          <w:p w14:paraId="68075614" w14:textId="3F0BCD37" w:rsidR="007B0281" w:rsidRPr="00C55F2E" w:rsidRDefault="00A85810" w:rsidP="00A85810">
            <w:pPr>
              <w:ind w:left="0" w:firstLine="0"/>
              <w:jc w:val="center"/>
            </w:pPr>
            <w:r w:rsidRPr="00C55F2E">
              <w:t>Number of Instalments</w:t>
            </w:r>
          </w:p>
        </w:tc>
        <w:tc>
          <w:tcPr>
            <w:tcW w:w="3210" w:type="dxa"/>
            <w:vAlign w:val="bottom"/>
          </w:tcPr>
          <w:p w14:paraId="7C7E1D05" w14:textId="4F7BE7EB" w:rsidR="007B0281" w:rsidRPr="00C55F2E" w:rsidRDefault="00A85810" w:rsidP="00643155">
            <w:pPr>
              <w:ind w:left="0" w:firstLine="0"/>
            </w:pPr>
            <w:r w:rsidRPr="00C55F2E">
              <w:t>Yearly TFL Instalment Split</w:t>
            </w:r>
          </w:p>
        </w:tc>
      </w:tr>
      <w:tr w:rsidR="007B0281" w:rsidRPr="00C55F2E" w14:paraId="24CAAF6E" w14:textId="77777777" w:rsidTr="007B0281">
        <w:trPr>
          <w:cnfStyle w:val="000000100000" w:firstRow="0" w:lastRow="0" w:firstColumn="0" w:lastColumn="0" w:oddVBand="0" w:evenVBand="0" w:oddHBand="1" w:evenHBand="0" w:firstRowFirstColumn="0" w:firstRowLastColumn="0" w:lastRowFirstColumn="0" w:lastRowLastColumn="0"/>
        </w:trPr>
        <w:tc>
          <w:tcPr>
            <w:tcW w:w="3209" w:type="dxa"/>
          </w:tcPr>
          <w:p w14:paraId="0DD43070" w14:textId="77777777" w:rsidR="00AA124D" w:rsidRPr="00C55F2E" w:rsidRDefault="00AA124D" w:rsidP="007229C2">
            <w:pPr>
              <w:ind w:left="0" w:firstLine="0"/>
            </w:pPr>
            <w:r w:rsidRPr="00C55F2E">
              <w:t>One 13-week quarter</w:t>
            </w:r>
          </w:p>
          <w:p w14:paraId="5222AB39" w14:textId="539FF88A" w:rsidR="007B0281" w:rsidRPr="00C55F2E" w:rsidRDefault="00AA124D" w:rsidP="007229C2">
            <w:pPr>
              <w:ind w:left="0" w:firstLine="0"/>
            </w:pPr>
            <w:r w:rsidRPr="00C55F2E">
              <w:rPr>
                <w:sz w:val="20"/>
                <w:szCs w:val="20"/>
              </w:rPr>
              <w:t>(i.e. 136 days or less)</w:t>
            </w:r>
          </w:p>
        </w:tc>
        <w:tc>
          <w:tcPr>
            <w:tcW w:w="3209" w:type="dxa"/>
          </w:tcPr>
          <w:p w14:paraId="170F9023" w14:textId="2F029193" w:rsidR="007B0281" w:rsidRPr="00C55F2E" w:rsidRDefault="00643155" w:rsidP="00643155">
            <w:pPr>
              <w:ind w:left="0" w:firstLine="0"/>
              <w:jc w:val="center"/>
            </w:pPr>
            <w:r w:rsidRPr="00C55F2E">
              <w:t>1</w:t>
            </w:r>
          </w:p>
        </w:tc>
        <w:tc>
          <w:tcPr>
            <w:tcW w:w="3210" w:type="dxa"/>
          </w:tcPr>
          <w:p w14:paraId="4B194DCE" w14:textId="573DC2B5" w:rsidR="007B0281" w:rsidRPr="00C55F2E" w:rsidRDefault="00643155" w:rsidP="002F4AE7">
            <w:pPr>
              <w:ind w:left="0" w:firstLine="0"/>
              <w:jc w:val="center"/>
            </w:pPr>
            <w:r w:rsidRPr="00C55F2E">
              <w:t>100%</w:t>
            </w:r>
          </w:p>
        </w:tc>
      </w:tr>
      <w:tr w:rsidR="007B0281" w:rsidRPr="00C55F2E" w14:paraId="214422D1" w14:textId="77777777" w:rsidTr="007B0281">
        <w:trPr>
          <w:cnfStyle w:val="000000010000" w:firstRow="0" w:lastRow="0" w:firstColumn="0" w:lastColumn="0" w:oddVBand="0" w:evenVBand="0" w:oddHBand="0" w:evenHBand="1" w:firstRowFirstColumn="0" w:firstRowLastColumn="0" w:lastRowFirstColumn="0" w:lastRowLastColumn="0"/>
        </w:trPr>
        <w:tc>
          <w:tcPr>
            <w:tcW w:w="3209" w:type="dxa"/>
          </w:tcPr>
          <w:p w14:paraId="238053A2" w14:textId="2CE8C8DF" w:rsidR="00AA124D" w:rsidRPr="00C55F2E" w:rsidRDefault="00AA124D" w:rsidP="00AA124D">
            <w:pPr>
              <w:ind w:left="0" w:firstLine="0"/>
            </w:pPr>
            <w:r w:rsidRPr="00C55F2E">
              <w:t>Two 13-week quarter</w:t>
            </w:r>
            <w:r w:rsidR="00374BB9" w:rsidRPr="00C55F2E">
              <w:t>s</w:t>
            </w:r>
          </w:p>
          <w:p w14:paraId="77C34D82" w14:textId="2462D5CE" w:rsidR="007B0281" w:rsidRPr="00C55F2E" w:rsidRDefault="00AA124D" w:rsidP="00AA124D">
            <w:pPr>
              <w:ind w:left="0" w:firstLine="0"/>
            </w:pPr>
            <w:r w:rsidRPr="00C55F2E">
              <w:rPr>
                <w:sz w:val="20"/>
                <w:szCs w:val="20"/>
              </w:rPr>
              <w:t>(i.e. 13</w:t>
            </w:r>
            <w:r w:rsidR="00374BB9" w:rsidRPr="00C55F2E">
              <w:rPr>
                <w:sz w:val="20"/>
                <w:szCs w:val="20"/>
              </w:rPr>
              <w:t>7</w:t>
            </w:r>
            <w:r w:rsidRPr="00C55F2E">
              <w:rPr>
                <w:sz w:val="20"/>
                <w:szCs w:val="20"/>
              </w:rPr>
              <w:t xml:space="preserve"> days </w:t>
            </w:r>
            <w:r w:rsidR="00374BB9" w:rsidRPr="00C55F2E">
              <w:rPr>
                <w:sz w:val="20"/>
                <w:szCs w:val="20"/>
              </w:rPr>
              <w:t>to 227 days</w:t>
            </w:r>
            <w:r w:rsidRPr="00C55F2E">
              <w:rPr>
                <w:sz w:val="20"/>
                <w:szCs w:val="20"/>
              </w:rPr>
              <w:t>)</w:t>
            </w:r>
          </w:p>
        </w:tc>
        <w:tc>
          <w:tcPr>
            <w:tcW w:w="3209" w:type="dxa"/>
          </w:tcPr>
          <w:p w14:paraId="1A816705" w14:textId="3DE56C3E" w:rsidR="007B0281" w:rsidRPr="00C55F2E" w:rsidRDefault="00643155" w:rsidP="00643155">
            <w:pPr>
              <w:ind w:left="0" w:firstLine="0"/>
              <w:jc w:val="center"/>
            </w:pPr>
            <w:r w:rsidRPr="00C55F2E">
              <w:t>2</w:t>
            </w:r>
          </w:p>
        </w:tc>
        <w:tc>
          <w:tcPr>
            <w:tcW w:w="3210" w:type="dxa"/>
          </w:tcPr>
          <w:p w14:paraId="7159E8C8" w14:textId="68E71EE6" w:rsidR="007B0281" w:rsidRPr="00C55F2E" w:rsidRDefault="002F4AE7" w:rsidP="002F4AE7">
            <w:pPr>
              <w:ind w:left="0" w:firstLine="0"/>
              <w:jc w:val="center"/>
            </w:pPr>
            <w:r w:rsidRPr="00C55F2E">
              <w:t>50% / 50%</w:t>
            </w:r>
          </w:p>
        </w:tc>
      </w:tr>
      <w:tr w:rsidR="007B0281" w:rsidRPr="00C55F2E" w14:paraId="0D4D0BC0" w14:textId="77777777" w:rsidTr="007B0281">
        <w:trPr>
          <w:cnfStyle w:val="000000100000" w:firstRow="0" w:lastRow="0" w:firstColumn="0" w:lastColumn="0" w:oddVBand="0" w:evenVBand="0" w:oddHBand="1" w:evenHBand="0" w:firstRowFirstColumn="0" w:firstRowLastColumn="0" w:lastRowFirstColumn="0" w:lastRowLastColumn="0"/>
        </w:trPr>
        <w:tc>
          <w:tcPr>
            <w:tcW w:w="3209" w:type="dxa"/>
          </w:tcPr>
          <w:p w14:paraId="6FA9E862" w14:textId="58702EFA" w:rsidR="00374BB9" w:rsidRPr="00C55F2E" w:rsidRDefault="00374BB9" w:rsidP="00374BB9">
            <w:pPr>
              <w:ind w:left="0" w:firstLine="0"/>
            </w:pPr>
            <w:r w:rsidRPr="00C55F2E">
              <w:t>Three 13-week quarters</w:t>
            </w:r>
          </w:p>
          <w:p w14:paraId="4DF85D9A" w14:textId="35F19D44" w:rsidR="007B0281" w:rsidRPr="00C55F2E" w:rsidRDefault="00374BB9" w:rsidP="00374BB9">
            <w:pPr>
              <w:ind w:left="0" w:firstLine="0"/>
            </w:pPr>
            <w:r w:rsidRPr="00C55F2E">
              <w:rPr>
                <w:sz w:val="20"/>
                <w:szCs w:val="20"/>
              </w:rPr>
              <w:t>(i.e. 228 days to 318 days)</w:t>
            </w:r>
          </w:p>
        </w:tc>
        <w:tc>
          <w:tcPr>
            <w:tcW w:w="3209" w:type="dxa"/>
          </w:tcPr>
          <w:p w14:paraId="4C2BC731" w14:textId="6A66F471" w:rsidR="007B0281" w:rsidRPr="00C55F2E" w:rsidRDefault="00643155" w:rsidP="00643155">
            <w:pPr>
              <w:ind w:left="0" w:firstLine="0"/>
              <w:jc w:val="center"/>
            </w:pPr>
            <w:r w:rsidRPr="00C55F2E">
              <w:t>3</w:t>
            </w:r>
          </w:p>
        </w:tc>
        <w:tc>
          <w:tcPr>
            <w:tcW w:w="3210" w:type="dxa"/>
          </w:tcPr>
          <w:p w14:paraId="4685925E" w14:textId="7FD59715" w:rsidR="007B0281" w:rsidRPr="00C55F2E" w:rsidRDefault="002F4AE7" w:rsidP="002F4AE7">
            <w:pPr>
              <w:ind w:left="0" w:firstLine="0"/>
              <w:jc w:val="center"/>
            </w:pPr>
            <w:r w:rsidRPr="00C55F2E">
              <w:t>25% / 25% / 50%</w:t>
            </w:r>
          </w:p>
        </w:tc>
      </w:tr>
      <w:tr w:rsidR="007B0281" w:rsidRPr="00C55F2E" w14:paraId="0DC893B4" w14:textId="77777777" w:rsidTr="007B0281">
        <w:trPr>
          <w:cnfStyle w:val="000000010000" w:firstRow="0" w:lastRow="0" w:firstColumn="0" w:lastColumn="0" w:oddVBand="0" w:evenVBand="0" w:oddHBand="0" w:evenHBand="1" w:firstRowFirstColumn="0" w:firstRowLastColumn="0" w:lastRowFirstColumn="0" w:lastRowLastColumn="0"/>
        </w:trPr>
        <w:tc>
          <w:tcPr>
            <w:tcW w:w="3209" w:type="dxa"/>
          </w:tcPr>
          <w:p w14:paraId="08FC768D" w14:textId="0734791F" w:rsidR="00374BB9" w:rsidRPr="00C55F2E" w:rsidRDefault="00374BB9" w:rsidP="00374BB9">
            <w:pPr>
              <w:ind w:left="0" w:firstLine="0"/>
            </w:pPr>
            <w:r w:rsidRPr="00C55F2E">
              <w:t>Four 13-week quarters</w:t>
            </w:r>
          </w:p>
          <w:p w14:paraId="5FC871EE" w14:textId="742A5D77" w:rsidR="007B0281" w:rsidRPr="00C55F2E" w:rsidRDefault="00374BB9" w:rsidP="00374BB9">
            <w:pPr>
              <w:ind w:left="0" w:firstLine="0"/>
            </w:pPr>
            <w:r w:rsidRPr="00C55F2E">
              <w:rPr>
                <w:sz w:val="20"/>
                <w:szCs w:val="20"/>
              </w:rPr>
              <w:t xml:space="preserve">(i.e. </w:t>
            </w:r>
            <w:r w:rsidR="00643155" w:rsidRPr="00C55F2E">
              <w:rPr>
                <w:sz w:val="20"/>
                <w:szCs w:val="20"/>
              </w:rPr>
              <w:t>319</w:t>
            </w:r>
            <w:r w:rsidRPr="00C55F2E">
              <w:rPr>
                <w:sz w:val="20"/>
                <w:szCs w:val="20"/>
              </w:rPr>
              <w:t xml:space="preserve"> days or </w:t>
            </w:r>
            <w:r w:rsidR="00643155" w:rsidRPr="00C55F2E">
              <w:rPr>
                <w:sz w:val="20"/>
                <w:szCs w:val="20"/>
              </w:rPr>
              <w:t>more</w:t>
            </w:r>
            <w:r w:rsidRPr="00C55F2E">
              <w:rPr>
                <w:sz w:val="20"/>
                <w:szCs w:val="20"/>
              </w:rPr>
              <w:t>)</w:t>
            </w:r>
          </w:p>
        </w:tc>
        <w:tc>
          <w:tcPr>
            <w:tcW w:w="3209" w:type="dxa"/>
          </w:tcPr>
          <w:p w14:paraId="27C7A59B" w14:textId="3CC088AB" w:rsidR="007B0281" w:rsidRPr="00C55F2E" w:rsidRDefault="00643155" w:rsidP="00643155">
            <w:pPr>
              <w:ind w:left="0" w:firstLine="0"/>
              <w:jc w:val="center"/>
            </w:pPr>
            <w:r w:rsidRPr="00C55F2E">
              <w:t>4</w:t>
            </w:r>
          </w:p>
        </w:tc>
        <w:tc>
          <w:tcPr>
            <w:tcW w:w="3210" w:type="dxa"/>
          </w:tcPr>
          <w:p w14:paraId="31290599" w14:textId="012784C6" w:rsidR="007B0281" w:rsidRPr="00C55F2E" w:rsidRDefault="002F4AE7" w:rsidP="002F4AE7">
            <w:pPr>
              <w:ind w:left="0" w:firstLine="0"/>
              <w:jc w:val="center"/>
            </w:pPr>
            <w:r w:rsidRPr="00C55F2E">
              <w:t>25% / 25% / 25% 25%</w:t>
            </w:r>
          </w:p>
        </w:tc>
      </w:tr>
    </w:tbl>
    <w:p w14:paraId="5D26EBF5" w14:textId="7D61FC6D" w:rsidR="00136D41" w:rsidRPr="00C55F2E" w:rsidRDefault="00A249C6" w:rsidP="00A249C6">
      <w:pPr>
        <w:spacing w:line="247" w:lineRule="auto"/>
        <w:ind w:left="0" w:firstLine="0"/>
        <w:jc w:val="both"/>
        <w:rPr>
          <w:sz w:val="20"/>
          <w:szCs w:val="20"/>
        </w:rPr>
      </w:pPr>
      <w:r w:rsidRPr="00C55F2E">
        <w:rPr>
          <w:sz w:val="20"/>
          <w:szCs w:val="20"/>
        </w:rPr>
        <w:t>*Note the applicable “number of days” within the relevant course duration thresholds do not align exactly to 13 week periods (i.e. increments of 13*7) due to the rounding methodology (the principle being that if the if the final period of a course year is less than half of a full 13 week period, round the payment instalments number down, and where the final period of a course year is equal to or greater than half of a 13 week period, round the payment instalments number up).</w:t>
      </w:r>
    </w:p>
    <w:p w14:paraId="32D3E688" w14:textId="77777777" w:rsidR="00136D41" w:rsidRPr="00C55F2E" w:rsidRDefault="00136D41" w:rsidP="007229C2">
      <w:pPr>
        <w:ind w:left="-5"/>
      </w:pPr>
    </w:p>
    <w:p w14:paraId="5298C6EB" w14:textId="6ACD07DE" w:rsidR="007229C2" w:rsidRPr="00C55F2E" w:rsidRDefault="007229C2" w:rsidP="00105319">
      <w:pPr>
        <w:spacing w:line="247" w:lineRule="auto"/>
        <w:ind w:left="0" w:firstLine="0"/>
        <w:jc w:val="both"/>
      </w:pPr>
      <w:r w:rsidRPr="00C55F2E">
        <w:t xml:space="preserve">This is paid to you when you confirm a positive attendance for </w:t>
      </w:r>
      <w:r w:rsidR="00B41760" w:rsidRPr="00C55F2E">
        <w:t xml:space="preserve">periods </w:t>
      </w:r>
      <w:r w:rsidRPr="00C55F2E">
        <w:t>1, 2</w:t>
      </w:r>
      <w:r w:rsidR="00B41760" w:rsidRPr="00C55F2E">
        <w:t>, 3</w:t>
      </w:r>
      <w:r w:rsidRPr="00C55F2E">
        <w:t xml:space="preserve"> and </w:t>
      </w:r>
      <w:r w:rsidR="00B41760" w:rsidRPr="00C55F2E">
        <w:t>4</w:t>
      </w:r>
      <w:r w:rsidR="00511284" w:rsidRPr="00C55F2E">
        <w:t xml:space="preserve">, </w:t>
      </w:r>
      <w:r w:rsidR="0020650A" w:rsidRPr="00C55F2E">
        <w:t>where</w:t>
      </w:r>
      <w:r w:rsidR="00511284" w:rsidRPr="00C55F2E">
        <w:t xml:space="preserve"> applicable</w:t>
      </w:r>
      <w:r w:rsidRPr="00C55F2E">
        <w:t xml:space="preserve">. We send these payments to you on a Wednesday and begin after a certain date has been reached in each term.  </w:t>
      </w:r>
    </w:p>
    <w:p w14:paraId="4A140A86" w14:textId="77777777" w:rsidR="007229C2" w:rsidRPr="00C55F2E" w:rsidRDefault="007229C2" w:rsidP="007229C2">
      <w:pPr>
        <w:spacing w:after="0" w:line="259" w:lineRule="auto"/>
        <w:ind w:left="0" w:firstLine="0"/>
      </w:pPr>
      <w:r w:rsidRPr="00C55F2E">
        <w:t xml:space="preserve"> </w:t>
      </w:r>
    </w:p>
    <w:p w14:paraId="7DE498C2" w14:textId="56B3C7AF" w:rsidR="007229C2" w:rsidRPr="00C55F2E" w:rsidRDefault="007229C2" w:rsidP="00511284">
      <w:pPr>
        <w:spacing w:after="50" w:line="247" w:lineRule="auto"/>
        <w:ind w:left="0" w:firstLine="0"/>
        <w:jc w:val="both"/>
      </w:pPr>
      <w:r w:rsidRPr="00C55F2E">
        <w:t xml:space="preserve">The below table shows when the first payment dates are for each </w:t>
      </w:r>
      <w:r w:rsidR="00511284" w:rsidRPr="00C55F2E">
        <w:t>period</w:t>
      </w:r>
      <w:r w:rsidRPr="00C55F2E">
        <w:t xml:space="preserve">. To ensure the payment is made on the first payment date you should submit your attendances by close of business the Thursday before the payment date. Following this, positive attendances confirmed by the close of business on a Thursday will allow us to pay the corresponding tuition fee to you on the next Wednesday. </w:t>
      </w:r>
    </w:p>
    <w:p w14:paraId="45C541C3" w14:textId="77777777" w:rsidR="007229C2" w:rsidRPr="00C55F2E" w:rsidRDefault="007229C2" w:rsidP="007229C2">
      <w:pPr>
        <w:spacing w:after="0" w:line="259" w:lineRule="auto"/>
        <w:ind w:left="0" w:firstLine="0"/>
      </w:pPr>
      <w:r w:rsidRPr="00C55F2E">
        <w:rPr>
          <w:b/>
          <w:sz w:val="22"/>
        </w:rPr>
        <w:t xml:space="preserve"> </w:t>
      </w:r>
      <w:r w:rsidRPr="00C55F2E">
        <w:rPr>
          <w:b/>
          <w:sz w:val="22"/>
        </w:rPr>
        <w:tab/>
      </w:r>
      <w:r w:rsidRPr="00C55F2E">
        <w:rPr>
          <w:sz w:val="28"/>
        </w:rPr>
        <w:t xml:space="preserve"> </w:t>
      </w:r>
    </w:p>
    <w:tbl>
      <w:tblPr>
        <w:tblStyle w:val="TableGrid0"/>
        <w:tblW w:w="9468" w:type="dxa"/>
        <w:tblInd w:w="5" w:type="dxa"/>
        <w:tblCellMar>
          <w:top w:w="61" w:type="dxa"/>
          <w:left w:w="12" w:type="dxa"/>
          <w:right w:w="6" w:type="dxa"/>
        </w:tblCellMar>
        <w:tblLook w:val="04A0" w:firstRow="1" w:lastRow="0" w:firstColumn="1" w:lastColumn="0" w:noHBand="0" w:noVBand="1"/>
      </w:tblPr>
      <w:tblGrid>
        <w:gridCol w:w="2608"/>
        <w:gridCol w:w="1701"/>
        <w:gridCol w:w="1701"/>
        <w:gridCol w:w="1701"/>
        <w:gridCol w:w="1757"/>
      </w:tblGrid>
      <w:tr w:rsidR="003D3D91" w:rsidRPr="00C55F2E" w14:paraId="68D29ECA" w14:textId="51424EF6" w:rsidTr="00FE4DC7">
        <w:trPr>
          <w:trHeight w:val="291"/>
        </w:trPr>
        <w:tc>
          <w:tcPr>
            <w:tcW w:w="2608" w:type="dxa"/>
            <w:tcBorders>
              <w:top w:val="single" w:sz="4" w:space="0" w:color="000000"/>
              <w:left w:val="single" w:sz="4" w:space="0" w:color="000000"/>
              <w:bottom w:val="single" w:sz="4" w:space="0" w:color="auto"/>
              <w:right w:val="single" w:sz="4" w:space="0" w:color="000000"/>
            </w:tcBorders>
            <w:vAlign w:val="bottom"/>
          </w:tcPr>
          <w:p w14:paraId="20F56C81" w14:textId="4105FBAE" w:rsidR="000111F2" w:rsidRPr="00C55F2E" w:rsidRDefault="000111F2" w:rsidP="00A85810">
            <w:pPr>
              <w:spacing w:after="0" w:line="259" w:lineRule="auto"/>
              <w:ind w:left="2" w:firstLine="0"/>
              <w:rPr>
                <w:sz w:val="20"/>
                <w:szCs w:val="20"/>
              </w:rPr>
            </w:pPr>
            <w:r w:rsidRPr="00C55F2E">
              <w:rPr>
                <w:b/>
                <w:sz w:val="20"/>
                <w:szCs w:val="20"/>
              </w:rPr>
              <w:t xml:space="preserve">Season (course year start) </w:t>
            </w:r>
          </w:p>
        </w:tc>
        <w:tc>
          <w:tcPr>
            <w:tcW w:w="1701" w:type="dxa"/>
            <w:tcBorders>
              <w:top w:val="single" w:sz="4" w:space="0" w:color="000000"/>
              <w:left w:val="single" w:sz="4" w:space="0" w:color="000000"/>
              <w:bottom w:val="single" w:sz="4" w:space="0" w:color="auto"/>
              <w:right w:val="single" w:sz="4" w:space="0" w:color="000000"/>
            </w:tcBorders>
            <w:vAlign w:val="bottom"/>
          </w:tcPr>
          <w:p w14:paraId="5F6E2BD7" w14:textId="6FF3D5CC" w:rsidR="000111F2" w:rsidRPr="00C55F2E" w:rsidRDefault="000111F2" w:rsidP="003D3D91">
            <w:pPr>
              <w:spacing w:after="0" w:line="259" w:lineRule="auto"/>
              <w:ind w:left="2" w:firstLine="0"/>
              <w:jc w:val="center"/>
              <w:rPr>
                <w:sz w:val="20"/>
                <w:szCs w:val="20"/>
              </w:rPr>
            </w:pPr>
            <w:r w:rsidRPr="00C55F2E">
              <w:rPr>
                <w:b/>
                <w:sz w:val="20"/>
                <w:szCs w:val="20"/>
              </w:rPr>
              <w:t>Payment 1</w:t>
            </w:r>
          </w:p>
        </w:tc>
        <w:tc>
          <w:tcPr>
            <w:tcW w:w="1701" w:type="dxa"/>
            <w:tcBorders>
              <w:top w:val="single" w:sz="4" w:space="0" w:color="000000"/>
              <w:left w:val="single" w:sz="4" w:space="0" w:color="000000"/>
              <w:bottom w:val="single" w:sz="4" w:space="0" w:color="auto"/>
              <w:right w:val="single" w:sz="4" w:space="0" w:color="000000"/>
            </w:tcBorders>
            <w:vAlign w:val="bottom"/>
          </w:tcPr>
          <w:p w14:paraId="39E1B659" w14:textId="47F88E0D" w:rsidR="000111F2" w:rsidRPr="00C55F2E" w:rsidRDefault="000111F2" w:rsidP="003D3D91">
            <w:pPr>
              <w:spacing w:after="0" w:line="259" w:lineRule="auto"/>
              <w:ind w:left="2" w:firstLine="0"/>
              <w:jc w:val="center"/>
              <w:rPr>
                <w:sz w:val="20"/>
                <w:szCs w:val="20"/>
              </w:rPr>
            </w:pPr>
            <w:r w:rsidRPr="00C55F2E">
              <w:rPr>
                <w:b/>
                <w:sz w:val="20"/>
                <w:szCs w:val="20"/>
              </w:rPr>
              <w:t>Payment 2</w:t>
            </w:r>
          </w:p>
        </w:tc>
        <w:tc>
          <w:tcPr>
            <w:tcW w:w="1701" w:type="dxa"/>
            <w:tcBorders>
              <w:top w:val="single" w:sz="4" w:space="0" w:color="000000"/>
              <w:left w:val="single" w:sz="4" w:space="0" w:color="000000"/>
              <w:bottom w:val="single" w:sz="4" w:space="0" w:color="auto"/>
              <w:right w:val="single" w:sz="4" w:space="0" w:color="000000"/>
            </w:tcBorders>
            <w:vAlign w:val="bottom"/>
          </w:tcPr>
          <w:p w14:paraId="0303A4D7" w14:textId="15359218" w:rsidR="000111F2" w:rsidRPr="00C55F2E" w:rsidRDefault="000111F2" w:rsidP="003D3D91">
            <w:pPr>
              <w:spacing w:after="0" w:line="259" w:lineRule="auto"/>
              <w:ind w:left="2" w:firstLine="0"/>
              <w:jc w:val="center"/>
              <w:rPr>
                <w:sz w:val="20"/>
                <w:szCs w:val="20"/>
              </w:rPr>
            </w:pPr>
            <w:r w:rsidRPr="00C55F2E">
              <w:rPr>
                <w:b/>
                <w:sz w:val="20"/>
                <w:szCs w:val="20"/>
              </w:rPr>
              <w:t>Payment 3</w:t>
            </w:r>
          </w:p>
        </w:tc>
        <w:tc>
          <w:tcPr>
            <w:tcW w:w="1757" w:type="dxa"/>
            <w:tcBorders>
              <w:top w:val="single" w:sz="4" w:space="0" w:color="000000"/>
              <w:left w:val="single" w:sz="4" w:space="0" w:color="000000"/>
              <w:bottom w:val="single" w:sz="4" w:space="0" w:color="auto"/>
              <w:right w:val="single" w:sz="4" w:space="0" w:color="000000"/>
            </w:tcBorders>
            <w:vAlign w:val="bottom"/>
          </w:tcPr>
          <w:p w14:paraId="286EF1FD" w14:textId="7D49CC06" w:rsidR="000111F2" w:rsidRPr="00C55F2E" w:rsidRDefault="000111F2" w:rsidP="003D3D91">
            <w:pPr>
              <w:spacing w:after="0" w:line="259" w:lineRule="auto"/>
              <w:ind w:left="0" w:firstLine="0"/>
              <w:jc w:val="center"/>
              <w:rPr>
                <w:b/>
                <w:sz w:val="20"/>
                <w:szCs w:val="20"/>
              </w:rPr>
            </w:pPr>
            <w:r w:rsidRPr="00C55F2E">
              <w:rPr>
                <w:b/>
                <w:sz w:val="20"/>
                <w:szCs w:val="20"/>
              </w:rPr>
              <w:t>Payment 4</w:t>
            </w:r>
          </w:p>
        </w:tc>
      </w:tr>
      <w:tr w:rsidR="00BE2C80" w:rsidRPr="00C55F2E" w14:paraId="7C2C4A73" w14:textId="6C97D4E5" w:rsidTr="003D3D91">
        <w:trPr>
          <w:trHeight w:val="567"/>
        </w:trPr>
        <w:tc>
          <w:tcPr>
            <w:tcW w:w="2608" w:type="dxa"/>
            <w:tcBorders>
              <w:top w:val="single" w:sz="4" w:space="0" w:color="auto"/>
              <w:left w:val="single" w:sz="4" w:space="0" w:color="auto"/>
              <w:bottom w:val="single" w:sz="4" w:space="0" w:color="auto"/>
              <w:right w:val="single" w:sz="4" w:space="0" w:color="auto"/>
            </w:tcBorders>
          </w:tcPr>
          <w:p w14:paraId="7322A79C" w14:textId="707F02A2" w:rsidR="000111F2" w:rsidRPr="00C55F2E" w:rsidRDefault="000111F2" w:rsidP="00BE2C80">
            <w:pPr>
              <w:spacing w:after="0" w:line="259" w:lineRule="auto"/>
              <w:ind w:left="2" w:firstLine="0"/>
              <w:rPr>
                <w:sz w:val="20"/>
                <w:szCs w:val="20"/>
              </w:rPr>
            </w:pPr>
            <w:r w:rsidRPr="00C55F2E">
              <w:rPr>
                <w:sz w:val="20"/>
                <w:szCs w:val="20"/>
              </w:rPr>
              <w:t xml:space="preserve">Autumn </w:t>
            </w:r>
            <w:r w:rsidRPr="00C55F2E">
              <w:rPr>
                <w:sz w:val="16"/>
                <w:szCs w:val="16"/>
              </w:rPr>
              <w:t>(</w:t>
            </w:r>
            <w:r w:rsidR="00E6038E" w:rsidRPr="00C55F2E">
              <w:rPr>
                <w:sz w:val="16"/>
                <w:szCs w:val="16"/>
              </w:rPr>
              <w:t xml:space="preserve">1 </w:t>
            </w:r>
            <w:r w:rsidRPr="00C55F2E">
              <w:rPr>
                <w:sz w:val="16"/>
                <w:szCs w:val="16"/>
              </w:rPr>
              <w:t xml:space="preserve">August to </w:t>
            </w:r>
            <w:r w:rsidR="00E6038E" w:rsidRPr="00C55F2E">
              <w:rPr>
                <w:sz w:val="16"/>
                <w:szCs w:val="16"/>
              </w:rPr>
              <w:t xml:space="preserve">31 </w:t>
            </w:r>
            <w:r w:rsidRPr="00C55F2E">
              <w:rPr>
                <w:sz w:val="16"/>
                <w:szCs w:val="16"/>
              </w:rPr>
              <w:t xml:space="preserve">December) </w:t>
            </w:r>
          </w:p>
        </w:tc>
        <w:tc>
          <w:tcPr>
            <w:tcW w:w="1701" w:type="dxa"/>
            <w:tcBorders>
              <w:top w:val="single" w:sz="4" w:space="0" w:color="auto"/>
              <w:left w:val="single" w:sz="4" w:space="0" w:color="auto"/>
              <w:bottom w:val="single" w:sz="4" w:space="0" w:color="auto"/>
              <w:right w:val="single" w:sz="4" w:space="0" w:color="auto"/>
            </w:tcBorders>
          </w:tcPr>
          <w:p w14:paraId="13851205" w14:textId="7AC7D653" w:rsidR="000111F2" w:rsidRPr="00C55F2E" w:rsidRDefault="00E8056A" w:rsidP="003D3D91">
            <w:pPr>
              <w:spacing w:after="0" w:line="259" w:lineRule="auto"/>
              <w:ind w:left="2" w:firstLine="0"/>
              <w:jc w:val="center"/>
              <w:rPr>
                <w:sz w:val="20"/>
                <w:szCs w:val="20"/>
              </w:rPr>
            </w:pPr>
            <w:r w:rsidRPr="00C55F2E">
              <w:rPr>
                <w:sz w:val="20"/>
                <w:szCs w:val="20"/>
              </w:rPr>
              <w:t>3</w:t>
            </w:r>
            <w:r w:rsidR="00174F6A" w:rsidRPr="00C55F2E">
              <w:rPr>
                <w:sz w:val="20"/>
                <w:szCs w:val="20"/>
                <w:vertAlign w:val="superscript"/>
              </w:rPr>
              <w:t>rd</w:t>
            </w:r>
            <w:r w:rsidR="00174F6A" w:rsidRPr="00C55F2E">
              <w:rPr>
                <w:sz w:val="20"/>
                <w:szCs w:val="20"/>
              </w:rPr>
              <w:t xml:space="preserve"> </w:t>
            </w:r>
            <w:r w:rsidR="000111F2" w:rsidRPr="00C55F2E">
              <w:rPr>
                <w:sz w:val="20"/>
                <w:szCs w:val="20"/>
              </w:rPr>
              <w:t>Wednesday in October</w:t>
            </w:r>
          </w:p>
        </w:tc>
        <w:tc>
          <w:tcPr>
            <w:tcW w:w="1701" w:type="dxa"/>
            <w:tcBorders>
              <w:top w:val="single" w:sz="4" w:space="0" w:color="auto"/>
              <w:left w:val="single" w:sz="4" w:space="0" w:color="auto"/>
              <w:bottom w:val="single" w:sz="4" w:space="0" w:color="auto"/>
              <w:right w:val="single" w:sz="4" w:space="0" w:color="auto"/>
            </w:tcBorders>
          </w:tcPr>
          <w:p w14:paraId="71C00AA7" w14:textId="634D4E84" w:rsidR="000111F2" w:rsidRPr="00C55F2E" w:rsidRDefault="00E8056A"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000111F2" w:rsidRPr="00C55F2E">
              <w:rPr>
                <w:sz w:val="20"/>
                <w:szCs w:val="20"/>
              </w:rPr>
              <w:t>Wednesday in February</w:t>
            </w:r>
          </w:p>
        </w:tc>
        <w:tc>
          <w:tcPr>
            <w:tcW w:w="1701" w:type="dxa"/>
            <w:tcBorders>
              <w:top w:val="single" w:sz="4" w:space="0" w:color="auto"/>
              <w:left w:val="single" w:sz="4" w:space="0" w:color="auto"/>
              <w:bottom w:val="single" w:sz="4" w:space="0" w:color="auto"/>
              <w:right w:val="single" w:sz="4" w:space="0" w:color="auto"/>
            </w:tcBorders>
          </w:tcPr>
          <w:p w14:paraId="268B6D1C" w14:textId="3A1AFDBF" w:rsidR="000111F2" w:rsidRPr="00C55F2E" w:rsidRDefault="00E8056A"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000111F2" w:rsidRPr="00C55F2E">
              <w:rPr>
                <w:sz w:val="20"/>
                <w:szCs w:val="20"/>
              </w:rPr>
              <w:t>Wednesday in May</w:t>
            </w:r>
          </w:p>
        </w:tc>
        <w:tc>
          <w:tcPr>
            <w:tcW w:w="1757" w:type="dxa"/>
            <w:tcBorders>
              <w:top w:val="single" w:sz="4" w:space="0" w:color="auto"/>
              <w:left w:val="single" w:sz="4" w:space="0" w:color="auto"/>
              <w:bottom w:val="single" w:sz="4" w:space="0" w:color="auto"/>
              <w:right w:val="single" w:sz="4" w:space="0" w:color="auto"/>
            </w:tcBorders>
          </w:tcPr>
          <w:p w14:paraId="3C8FE210" w14:textId="7D833AF3" w:rsidR="000111F2" w:rsidRPr="00C55F2E" w:rsidRDefault="00E22496" w:rsidP="003D3D91">
            <w:pPr>
              <w:spacing w:after="0" w:line="259" w:lineRule="auto"/>
              <w:ind w:left="0" w:firstLine="0"/>
              <w:jc w:val="center"/>
              <w:rPr>
                <w:sz w:val="20"/>
                <w:szCs w:val="20"/>
              </w:rPr>
            </w:pPr>
            <w:r w:rsidRPr="00C55F2E">
              <w:rPr>
                <w:sz w:val="20"/>
                <w:szCs w:val="20"/>
              </w:rPr>
              <w:t>3</w:t>
            </w:r>
            <w:r w:rsidR="00174F6A" w:rsidRPr="00C55F2E">
              <w:rPr>
                <w:sz w:val="20"/>
                <w:szCs w:val="20"/>
                <w:vertAlign w:val="superscript"/>
              </w:rPr>
              <w:t>rd</w:t>
            </w:r>
            <w:r w:rsidR="00174F6A" w:rsidRPr="00C55F2E">
              <w:rPr>
                <w:sz w:val="20"/>
                <w:szCs w:val="20"/>
              </w:rPr>
              <w:t xml:space="preserve"> </w:t>
            </w:r>
            <w:r w:rsidRPr="00C55F2E">
              <w:rPr>
                <w:sz w:val="20"/>
                <w:szCs w:val="20"/>
              </w:rPr>
              <w:t>Wednesday in October</w:t>
            </w:r>
          </w:p>
        </w:tc>
      </w:tr>
      <w:tr w:rsidR="00BE2C80" w:rsidRPr="00C55F2E" w14:paraId="274FA33B" w14:textId="6A1D8BE1" w:rsidTr="003D3D91">
        <w:trPr>
          <w:trHeight w:val="567"/>
        </w:trPr>
        <w:tc>
          <w:tcPr>
            <w:tcW w:w="2608" w:type="dxa"/>
            <w:tcBorders>
              <w:top w:val="single" w:sz="4" w:space="0" w:color="auto"/>
              <w:left w:val="single" w:sz="4" w:space="0" w:color="auto"/>
              <w:bottom w:val="single" w:sz="4" w:space="0" w:color="auto"/>
              <w:right w:val="single" w:sz="4" w:space="0" w:color="auto"/>
            </w:tcBorders>
          </w:tcPr>
          <w:p w14:paraId="4A3124B9" w14:textId="30DB26F0" w:rsidR="000111F2" w:rsidRPr="00C55F2E" w:rsidRDefault="000111F2" w:rsidP="00BE2C80">
            <w:pPr>
              <w:spacing w:after="0" w:line="259" w:lineRule="auto"/>
              <w:ind w:left="2" w:firstLine="0"/>
              <w:rPr>
                <w:sz w:val="20"/>
                <w:szCs w:val="20"/>
              </w:rPr>
            </w:pPr>
            <w:r w:rsidRPr="00C55F2E">
              <w:rPr>
                <w:sz w:val="20"/>
                <w:szCs w:val="20"/>
              </w:rPr>
              <w:t xml:space="preserve">Winter </w:t>
            </w:r>
            <w:r w:rsidRPr="00C55F2E">
              <w:rPr>
                <w:sz w:val="16"/>
                <w:szCs w:val="16"/>
              </w:rPr>
              <w:t>(</w:t>
            </w:r>
            <w:r w:rsidR="00E6038E" w:rsidRPr="00C55F2E">
              <w:rPr>
                <w:sz w:val="16"/>
                <w:szCs w:val="16"/>
              </w:rPr>
              <w:t xml:space="preserve">1 </w:t>
            </w:r>
            <w:r w:rsidRPr="00C55F2E">
              <w:rPr>
                <w:sz w:val="16"/>
                <w:szCs w:val="16"/>
              </w:rPr>
              <w:t xml:space="preserve">January to </w:t>
            </w:r>
            <w:r w:rsidR="00E6038E" w:rsidRPr="00C55F2E">
              <w:rPr>
                <w:sz w:val="16"/>
                <w:szCs w:val="16"/>
              </w:rPr>
              <w:t xml:space="preserve">31 </w:t>
            </w:r>
            <w:r w:rsidRPr="00C55F2E">
              <w:rPr>
                <w:sz w:val="16"/>
                <w:szCs w:val="16"/>
              </w:rPr>
              <w:t xml:space="preserve">March) </w:t>
            </w:r>
          </w:p>
        </w:tc>
        <w:tc>
          <w:tcPr>
            <w:tcW w:w="1701" w:type="dxa"/>
            <w:tcBorders>
              <w:top w:val="single" w:sz="4" w:space="0" w:color="auto"/>
              <w:left w:val="single" w:sz="4" w:space="0" w:color="auto"/>
              <w:bottom w:val="single" w:sz="4" w:space="0" w:color="auto"/>
              <w:right w:val="single" w:sz="4" w:space="0" w:color="auto"/>
            </w:tcBorders>
          </w:tcPr>
          <w:p w14:paraId="5A5AAC4A" w14:textId="23C1BE78" w:rsidR="000111F2" w:rsidRPr="00C55F2E" w:rsidRDefault="00E8056A"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000111F2" w:rsidRPr="00C55F2E">
              <w:rPr>
                <w:sz w:val="20"/>
                <w:szCs w:val="20"/>
              </w:rPr>
              <w:t>Wednesday in February</w:t>
            </w:r>
          </w:p>
        </w:tc>
        <w:tc>
          <w:tcPr>
            <w:tcW w:w="1701" w:type="dxa"/>
            <w:tcBorders>
              <w:top w:val="single" w:sz="4" w:space="0" w:color="auto"/>
              <w:left w:val="single" w:sz="4" w:space="0" w:color="auto"/>
              <w:bottom w:val="single" w:sz="4" w:space="0" w:color="auto"/>
              <w:right w:val="single" w:sz="4" w:space="0" w:color="auto"/>
            </w:tcBorders>
          </w:tcPr>
          <w:p w14:paraId="398A85A5" w14:textId="43095A41" w:rsidR="000111F2" w:rsidRPr="00C55F2E" w:rsidRDefault="00E8056A"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000111F2" w:rsidRPr="00C55F2E">
              <w:rPr>
                <w:sz w:val="20"/>
                <w:szCs w:val="20"/>
              </w:rPr>
              <w:t>Wednesday in May</w:t>
            </w:r>
          </w:p>
        </w:tc>
        <w:tc>
          <w:tcPr>
            <w:tcW w:w="1701" w:type="dxa"/>
            <w:tcBorders>
              <w:top w:val="single" w:sz="4" w:space="0" w:color="auto"/>
              <w:left w:val="single" w:sz="4" w:space="0" w:color="auto"/>
              <w:bottom w:val="single" w:sz="4" w:space="0" w:color="auto"/>
              <w:right w:val="single" w:sz="4" w:space="0" w:color="auto"/>
            </w:tcBorders>
          </w:tcPr>
          <w:p w14:paraId="35076753" w14:textId="6788E121" w:rsidR="000111F2" w:rsidRPr="00C55F2E" w:rsidRDefault="00E8056A" w:rsidP="003D3D91">
            <w:pPr>
              <w:spacing w:after="0" w:line="259" w:lineRule="auto"/>
              <w:ind w:left="2" w:firstLine="0"/>
              <w:jc w:val="center"/>
              <w:rPr>
                <w:sz w:val="20"/>
                <w:szCs w:val="20"/>
              </w:rPr>
            </w:pPr>
            <w:r w:rsidRPr="00C55F2E">
              <w:rPr>
                <w:sz w:val="20"/>
                <w:szCs w:val="20"/>
              </w:rPr>
              <w:t>3</w:t>
            </w:r>
            <w:r w:rsidR="00174F6A" w:rsidRPr="00C55F2E">
              <w:rPr>
                <w:sz w:val="20"/>
                <w:szCs w:val="20"/>
                <w:vertAlign w:val="superscript"/>
              </w:rPr>
              <w:t>rd</w:t>
            </w:r>
            <w:r w:rsidR="00174F6A" w:rsidRPr="00C55F2E">
              <w:rPr>
                <w:sz w:val="20"/>
                <w:szCs w:val="20"/>
              </w:rPr>
              <w:t xml:space="preserve"> </w:t>
            </w:r>
            <w:r w:rsidRPr="00C55F2E">
              <w:rPr>
                <w:sz w:val="20"/>
                <w:szCs w:val="20"/>
              </w:rPr>
              <w:t>Wednesday in October</w:t>
            </w:r>
          </w:p>
        </w:tc>
        <w:tc>
          <w:tcPr>
            <w:tcW w:w="1757" w:type="dxa"/>
            <w:tcBorders>
              <w:top w:val="single" w:sz="4" w:space="0" w:color="auto"/>
              <w:left w:val="single" w:sz="4" w:space="0" w:color="auto"/>
              <w:bottom w:val="single" w:sz="4" w:space="0" w:color="auto"/>
              <w:right w:val="single" w:sz="4" w:space="0" w:color="auto"/>
            </w:tcBorders>
          </w:tcPr>
          <w:p w14:paraId="6756F010" w14:textId="65892FBB" w:rsidR="000111F2" w:rsidRPr="00C55F2E" w:rsidRDefault="00FD52AF" w:rsidP="003D3D91">
            <w:pPr>
              <w:spacing w:after="0" w:line="259" w:lineRule="auto"/>
              <w:ind w:left="0"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Pr="00C55F2E">
              <w:rPr>
                <w:sz w:val="20"/>
                <w:szCs w:val="20"/>
              </w:rPr>
              <w:t>Wednesday in February</w:t>
            </w:r>
          </w:p>
        </w:tc>
      </w:tr>
      <w:tr w:rsidR="00BE2C80" w:rsidRPr="00C55F2E" w14:paraId="4AEC68F0" w14:textId="3C62CFCD" w:rsidTr="003D3D91">
        <w:trPr>
          <w:trHeight w:val="567"/>
        </w:trPr>
        <w:tc>
          <w:tcPr>
            <w:tcW w:w="2608" w:type="dxa"/>
            <w:tcBorders>
              <w:top w:val="single" w:sz="4" w:space="0" w:color="auto"/>
              <w:left w:val="single" w:sz="4" w:space="0" w:color="auto"/>
              <w:bottom w:val="single" w:sz="4" w:space="0" w:color="auto"/>
              <w:right w:val="single" w:sz="4" w:space="0" w:color="auto"/>
            </w:tcBorders>
          </w:tcPr>
          <w:p w14:paraId="3535DE15" w14:textId="60032F65" w:rsidR="000111F2" w:rsidRPr="00C55F2E" w:rsidRDefault="000111F2" w:rsidP="00BE2C80">
            <w:pPr>
              <w:spacing w:after="0" w:line="259" w:lineRule="auto"/>
              <w:ind w:left="2" w:firstLine="0"/>
              <w:rPr>
                <w:sz w:val="20"/>
                <w:szCs w:val="20"/>
              </w:rPr>
            </w:pPr>
            <w:r w:rsidRPr="00C55F2E">
              <w:rPr>
                <w:sz w:val="20"/>
                <w:szCs w:val="20"/>
              </w:rPr>
              <w:t>Spring</w:t>
            </w:r>
            <w:r w:rsidR="00BE2C80" w:rsidRPr="00C55F2E">
              <w:rPr>
                <w:sz w:val="20"/>
                <w:szCs w:val="20"/>
              </w:rPr>
              <w:t xml:space="preserve"> </w:t>
            </w:r>
            <w:r w:rsidRPr="00C55F2E">
              <w:rPr>
                <w:sz w:val="16"/>
                <w:szCs w:val="16"/>
              </w:rPr>
              <w:t>(</w:t>
            </w:r>
            <w:r w:rsidR="00E6038E" w:rsidRPr="00C55F2E">
              <w:rPr>
                <w:sz w:val="16"/>
                <w:szCs w:val="16"/>
              </w:rPr>
              <w:t xml:space="preserve">1 </w:t>
            </w:r>
            <w:r w:rsidRPr="00C55F2E">
              <w:rPr>
                <w:sz w:val="16"/>
                <w:szCs w:val="16"/>
              </w:rPr>
              <w:t xml:space="preserve">April to </w:t>
            </w:r>
            <w:r w:rsidR="00E6038E" w:rsidRPr="00C55F2E">
              <w:rPr>
                <w:sz w:val="16"/>
                <w:szCs w:val="16"/>
              </w:rPr>
              <w:t xml:space="preserve">30 </w:t>
            </w:r>
            <w:r w:rsidRPr="00C55F2E">
              <w:rPr>
                <w:sz w:val="16"/>
                <w:szCs w:val="16"/>
              </w:rPr>
              <w:t xml:space="preserve">June) </w:t>
            </w:r>
          </w:p>
        </w:tc>
        <w:tc>
          <w:tcPr>
            <w:tcW w:w="1701" w:type="dxa"/>
            <w:tcBorders>
              <w:top w:val="single" w:sz="4" w:space="0" w:color="auto"/>
              <w:left w:val="single" w:sz="4" w:space="0" w:color="auto"/>
              <w:bottom w:val="single" w:sz="4" w:space="0" w:color="auto"/>
              <w:right w:val="single" w:sz="4" w:space="0" w:color="auto"/>
            </w:tcBorders>
          </w:tcPr>
          <w:p w14:paraId="6E95A8B0" w14:textId="18250936" w:rsidR="000111F2" w:rsidRPr="00C55F2E" w:rsidRDefault="005F15A3"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000111F2" w:rsidRPr="00C55F2E">
              <w:rPr>
                <w:sz w:val="20"/>
                <w:szCs w:val="20"/>
              </w:rPr>
              <w:t>Wednesday in May</w:t>
            </w:r>
          </w:p>
        </w:tc>
        <w:tc>
          <w:tcPr>
            <w:tcW w:w="1701" w:type="dxa"/>
            <w:tcBorders>
              <w:top w:val="single" w:sz="4" w:space="0" w:color="auto"/>
              <w:left w:val="single" w:sz="4" w:space="0" w:color="auto"/>
              <w:bottom w:val="single" w:sz="4" w:space="0" w:color="auto"/>
              <w:right w:val="single" w:sz="4" w:space="0" w:color="auto"/>
            </w:tcBorders>
          </w:tcPr>
          <w:p w14:paraId="76D8D977" w14:textId="77739B7C" w:rsidR="000111F2" w:rsidRPr="00C55F2E" w:rsidRDefault="005F15A3" w:rsidP="003D3D91">
            <w:pPr>
              <w:spacing w:after="0" w:line="259" w:lineRule="auto"/>
              <w:ind w:left="2" w:firstLine="0"/>
              <w:jc w:val="center"/>
              <w:rPr>
                <w:sz w:val="20"/>
                <w:szCs w:val="20"/>
              </w:rPr>
            </w:pPr>
            <w:r w:rsidRPr="00C55F2E">
              <w:rPr>
                <w:sz w:val="20"/>
                <w:szCs w:val="20"/>
              </w:rPr>
              <w:t>3</w:t>
            </w:r>
            <w:r w:rsidR="00174F6A" w:rsidRPr="00C55F2E">
              <w:rPr>
                <w:sz w:val="20"/>
                <w:szCs w:val="20"/>
                <w:vertAlign w:val="superscript"/>
              </w:rPr>
              <w:t>rd</w:t>
            </w:r>
            <w:r w:rsidR="00174F6A" w:rsidRPr="00C55F2E">
              <w:rPr>
                <w:sz w:val="20"/>
                <w:szCs w:val="20"/>
              </w:rPr>
              <w:t xml:space="preserve"> </w:t>
            </w:r>
            <w:r w:rsidRPr="00C55F2E">
              <w:rPr>
                <w:sz w:val="20"/>
                <w:szCs w:val="20"/>
              </w:rPr>
              <w:t>Wednesday in October</w:t>
            </w:r>
          </w:p>
        </w:tc>
        <w:tc>
          <w:tcPr>
            <w:tcW w:w="1701" w:type="dxa"/>
            <w:tcBorders>
              <w:top w:val="single" w:sz="4" w:space="0" w:color="auto"/>
              <w:left w:val="single" w:sz="4" w:space="0" w:color="auto"/>
              <w:bottom w:val="single" w:sz="4" w:space="0" w:color="auto"/>
              <w:right w:val="single" w:sz="4" w:space="0" w:color="auto"/>
            </w:tcBorders>
          </w:tcPr>
          <w:p w14:paraId="5461245E" w14:textId="1896A928" w:rsidR="000111F2" w:rsidRPr="00C55F2E" w:rsidRDefault="00567AC3"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Pr="00C55F2E">
              <w:rPr>
                <w:sz w:val="20"/>
                <w:szCs w:val="20"/>
              </w:rPr>
              <w:t>Wednesday in February</w:t>
            </w:r>
          </w:p>
        </w:tc>
        <w:tc>
          <w:tcPr>
            <w:tcW w:w="1757" w:type="dxa"/>
            <w:tcBorders>
              <w:top w:val="single" w:sz="4" w:space="0" w:color="auto"/>
              <w:left w:val="single" w:sz="4" w:space="0" w:color="auto"/>
              <w:bottom w:val="single" w:sz="4" w:space="0" w:color="auto"/>
              <w:right w:val="single" w:sz="4" w:space="0" w:color="auto"/>
            </w:tcBorders>
          </w:tcPr>
          <w:p w14:paraId="3FF7CE79" w14:textId="76440AC4" w:rsidR="000111F2" w:rsidRPr="00C55F2E" w:rsidRDefault="00567AC3" w:rsidP="003D3D91">
            <w:pPr>
              <w:spacing w:after="0" w:line="259" w:lineRule="auto"/>
              <w:ind w:left="0"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Pr="00C55F2E">
              <w:rPr>
                <w:sz w:val="20"/>
                <w:szCs w:val="20"/>
              </w:rPr>
              <w:t>Wednesday in May</w:t>
            </w:r>
          </w:p>
        </w:tc>
      </w:tr>
      <w:tr w:rsidR="00BE2C80" w:rsidRPr="00C55F2E" w14:paraId="56DDB04B" w14:textId="021913B7" w:rsidTr="003D3D91">
        <w:trPr>
          <w:trHeight w:val="567"/>
        </w:trPr>
        <w:tc>
          <w:tcPr>
            <w:tcW w:w="2608" w:type="dxa"/>
            <w:tcBorders>
              <w:top w:val="single" w:sz="4" w:space="0" w:color="auto"/>
              <w:left w:val="single" w:sz="4" w:space="0" w:color="auto"/>
              <w:bottom w:val="single" w:sz="4" w:space="0" w:color="auto"/>
              <w:right w:val="single" w:sz="4" w:space="0" w:color="auto"/>
            </w:tcBorders>
          </w:tcPr>
          <w:p w14:paraId="6A82A84F" w14:textId="7D4A21FB" w:rsidR="000111F2" w:rsidRPr="00C55F2E" w:rsidRDefault="000111F2" w:rsidP="00BE2C80">
            <w:pPr>
              <w:spacing w:after="0" w:line="259" w:lineRule="auto"/>
              <w:ind w:left="2" w:firstLine="0"/>
              <w:rPr>
                <w:sz w:val="20"/>
                <w:szCs w:val="20"/>
              </w:rPr>
            </w:pPr>
            <w:r w:rsidRPr="00C55F2E">
              <w:rPr>
                <w:sz w:val="20"/>
                <w:szCs w:val="20"/>
              </w:rPr>
              <w:t>Summer</w:t>
            </w:r>
            <w:r w:rsidR="00BE2C80" w:rsidRPr="00C55F2E">
              <w:rPr>
                <w:sz w:val="20"/>
                <w:szCs w:val="20"/>
              </w:rPr>
              <w:t xml:space="preserve"> </w:t>
            </w:r>
            <w:r w:rsidRPr="00C55F2E">
              <w:rPr>
                <w:sz w:val="16"/>
                <w:szCs w:val="16"/>
              </w:rPr>
              <w:t>(</w:t>
            </w:r>
            <w:r w:rsidR="00E6038E" w:rsidRPr="00C55F2E">
              <w:rPr>
                <w:sz w:val="16"/>
                <w:szCs w:val="16"/>
              </w:rPr>
              <w:t xml:space="preserve">1 </w:t>
            </w:r>
            <w:r w:rsidRPr="00C55F2E">
              <w:rPr>
                <w:sz w:val="16"/>
                <w:szCs w:val="16"/>
              </w:rPr>
              <w:t xml:space="preserve">July to </w:t>
            </w:r>
            <w:r w:rsidR="00E6038E" w:rsidRPr="00C55F2E">
              <w:rPr>
                <w:sz w:val="16"/>
                <w:szCs w:val="16"/>
              </w:rPr>
              <w:t>31 July</w:t>
            </w:r>
            <w:r w:rsidRPr="00C55F2E">
              <w:rPr>
                <w:sz w:val="16"/>
                <w:szCs w:val="16"/>
              </w:rPr>
              <w:t>)</w:t>
            </w:r>
            <w:r w:rsidRPr="00C55F2E">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317FD8D5" w14:textId="4A7EEDAD" w:rsidR="000111F2" w:rsidRPr="00C55F2E" w:rsidRDefault="0046086B" w:rsidP="003D3D91">
            <w:pPr>
              <w:spacing w:after="0" w:line="259" w:lineRule="auto"/>
              <w:ind w:left="2" w:firstLine="0"/>
              <w:jc w:val="center"/>
              <w:rPr>
                <w:sz w:val="20"/>
                <w:szCs w:val="20"/>
              </w:rPr>
            </w:pPr>
            <w:r w:rsidRPr="00C55F2E">
              <w:rPr>
                <w:sz w:val="20"/>
                <w:szCs w:val="20"/>
              </w:rPr>
              <w:t>3</w:t>
            </w:r>
            <w:r w:rsidR="00FE4DC7" w:rsidRPr="00C55F2E">
              <w:rPr>
                <w:sz w:val="20"/>
                <w:szCs w:val="20"/>
                <w:vertAlign w:val="superscript"/>
              </w:rPr>
              <w:t>rd</w:t>
            </w:r>
            <w:r w:rsidR="00FE4DC7" w:rsidRPr="00C55F2E">
              <w:rPr>
                <w:sz w:val="20"/>
                <w:szCs w:val="20"/>
              </w:rPr>
              <w:t xml:space="preserve"> Wednesday</w:t>
            </w:r>
            <w:r w:rsidR="000111F2" w:rsidRPr="00C55F2E">
              <w:rPr>
                <w:sz w:val="20"/>
                <w:szCs w:val="20"/>
              </w:rPr>
              <w:t xml:space="preserve"> in July</w:t>
            </w:r>
          </w:p>
        </w:tc>
        <w:tc>
          <w:tcPr>
            <w:tcW w:w="1701" w:type="dxa"/>
            <w:tcBorders>
              <w:top w:val="single" w:sz="4" w:space="0" w:color="auto"/>
              <w:left w:val="single" w:sz="4" w:space="0" w:color="auto"/>
              <w:bottom w:val="single" w:sz="4" w:space="0" w:color="auto"/>
              <w:right w:val="single" w:sz="4" w:space="0" w:color="auto"/>
            </w:tcBorders>
          </w:tcPr>
          <w:p w14:paraId="07DC9A1B" w14:textId="5D4BD0BB" w:rsidR="000111F2" w:rsidRPr="00C55F2E" w:rsidRDefault="00BF4B36"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Pr="00C55F2E">
              <w:rPr>
                <w:sz w:val="20"/>
                <w:szCs w:val="20"/>
              </w:rPr>
              <w:t>Wednesday in February</w:t>
            </w:r>
          </w:p>
        </w:tc>
        <w:tc>
          <w:tcPr>
            <w:tcW w:w="1701" w:type="dxa"/>
            <w:tcBorders>
              <w:top w:val="single" w:sz="4" w:space="0" w:color="auto"/>
              <w:left w:val="single" w:sz="4" w:space="0" w:color="auto"/>
              <w:bottom w:val="single" w:sz="4" w:space="0" w:color="auto"/>
              <w:right w:val="single" w:sz="4" w:space="0" w:color="auto"/>
            </w:tcBorders>
          </w:tcPr>
          <w:p w14:paraId="5BE41566" w14:textId="24344D85" w:rsidR="000111F2" w:rsidRPr="00C55F2E" w:rsidRDefault="00BF4B36" w:rsidP="003D3D91">
            <w:pPr>
              <w:spacing w:after="0" w:line="259" w:lineRule="auto"/>
              <w:ind w:left="2" w:firstLine="0"/>
              <w:jc w:val="center"/>
              <w:rPr>
                <w:sz w:val="20"/>
                <w:szCs w:val="20"/>
              </w:rPr>
            </w:pPr>
            <w:r w:rsidRPr="00C55F2E">
              <w:rPr>
                <w:sz w:val="20"/>
                <w:szCs w:val="20"/>
              </w:rPr>
              <w:t>1</w:t>
            </w:r>
            <w:r w:rsidR="00174F6A" w:rsidRPr="00C55F2E">
              <w:rPr>
                <w:sz w:val="20"/>
                <w:szCs w:val="20"/>
                <w:vertAlign w:val="superscript"/>
              </w:rPr>
              <w:t>st</w:t>
            </w:r>
            <w:r w:rsidR="00174F6A" w:rsidRPr="00C55F2E">
              <w:rPr>
                <w:sz w:val="20"/>
                <w:szCs w:val="20"/>
              </w:rPr>
              <w:t xml:space="preserve"> </w:t>
            </w:r>
            <w:r w:rsidRPr="00C55F2E">
              <w:rPr>
                <w:sz w:val="20"/>
                <w:szCs w:val="20"/>
              </w:rPr>
              <w:t>Wednesday in May</w:t>
            </w:r>
          </w:p>
        </w:tc>
        <w:tc>
          <w:tcPr>
            <w:tcW w:w="1757" w:type="dxa"/>
            <w:tcBorders>
              <w:top w:val="single" w:sz="4" w:space="0" w:color="auto"/>
              <w:left w:val="single" w:sz="4" w:space="0" w:color="auto"/>
              <w:bottom w:val="single" w:sz="4" w:space="0" w:color="auto"/>
              <w:right w:val="single" w:sz="4" w:space="0" w:color="auto"/>
            </w:tcBorders>
          </w:tcPr>
          <w:p w14:paraId="22FA7A31" w14:textId="65AB44AE" w:rsidR="000111F2" w:rsidRPr="00C55F2E" w:rsidRDefault="00054892" w:rsidP="003D3D91">
            <w:pPr>
              <w:spacing w:after="0" w:line="259" w:lineRule="auto"/>
              <w:ind w:left="0" w:firstLine="0"/>
              <w:jc w:val="center"/>
              <w:rPr>
                <w:sz w:val="20"/>
                <w:szCs w:val="20"/>
              </w:rPr>
            </w:pPr>
            <w:r w:rsidRPr="00C55F2E">
              <w:rPr>
                <w:sz w:val="20"/>
                <w:szCs w:val="20"/>
              </w:rPr>
              <w:t>3</w:t>
            </w:r>
            <w:r w:rsidR="00174F6A" w:rsidRPr="00C55F2E">
              <w:rPr>
                <w:sz w:val="20"/>
                <w:szCs w:val="20"/>
                <w:vertAlign w:val="superscript"/>
              </w:rPr>
              <w:t>rd</w:t>
            </w:r>
            <w:r w:rsidR="00174F6A" w:rsidRPr="00C55F2E">
              <w:rPr>
                <w:sz w:val="20"/>
                <w:szCs w:val="20"/>
              </w:rPr>
              <w:t xml:space="preserve"> </w:t>
            </w:r>
            <w:r w:rsidRPr="00C55F2E">
              <w:rPr>
                <w:sz w:val="20"/>
                <w:szCs w:val="20"/>
              </w:rPr>
              <w:t>Wednesday in July</w:t>
            </w:r>
          </w:p>
        </w:tc>
      </w:tr>
    </w:tbl>
    <w:p w14:paraId="1D88A0F7" w14:textId="77777777" w:rsidR="007229C2" w:rsidRPr="00C55F2E" w:rsidRDefault="007229C2" w:rsidP="00903195">
      <w:pPr>
        <w:pStyle w:val="Heading1"/>
        <w:spacing w:before="240" w:after="240" w:line="247" w:lineRule="auto"/>
        <w:ind w:left="-6" w:hanging="11"/>
        <w:rPr>
          <w:rFonts w:ascii="Calibri" w:hAnsi="Calibri" w:cs="Calibri"/>
        </w:rPr>
      </w:pPr>
      <w:bookmarkStart w:id="23" w:name="_Toc225775756"/>
      <w:r w:rsidRPr="00C55F2E">
        <w:rPr>
          <w:rFonts w:ascii="Calibri" w:hAnsi="Calibri" w:cs="Calibri"/>
        </w:rPr>
        <w:t>System access</w:t>
      </w:r>
      <w:bookmarkEnd w:id="23"/>
      <w:r w:rsidRPr="00C55F2E">
        <w:rPr>
          <w:rFonts w:ascii="Calibri" w:hAnsi="Calibri" w:cs="Calibri"/>
        </w:rPr>
        <w:t xml:space="preserve"> </w:t>
      </w:r>
    </w:p>
    <w:p w14:paraId="4B15C50A" w14:textId="224C3BBB" w:rsidR="007229C2" w:rsidRPr="00C55F2E" w:rsidRDefault="007229C2" w:rsidP="0019233F">
      <w:pPr>
        <w:ind w:left="-5"/>
        <w:jc w:val="both"/>
      </w:pPr>
      <w:r w:rsidRPr="00C55F2E">
        <w:t xml:space="preserve">You will access the service through the HE Gateway. Each user’s access will be administered by the SIS User Administrator at your </w:t>
      </w:r>
      <w:r w:rsidR="0019233F" w:rsidRPr="00C55F2E">
        <w:t>HEP</w:t>
      </w:r>
      <w:r w:rsidRPr="00C55F2E">
        <w:t xml:space="preserve">. System access is a requirement of the UK DPA 2018 legislation, therefore it is vital that access roles are appropriate and up to date to remain compliant with law. </w:t>
      </w:r>
    </w:p>
    <w:p w14:paraId="1D34E681" w14:textId="77777777" w:rsidR="007229C2" w:rsidRPr="00C55F2E" w:rsidRDefault="007229C2" w:rsidP="0019233F">
      <w:pPr>
        <w:spacing w:after="0" w:line="259" w:lineRule="auto"/>
        <w:ind w:left="0" w:firstLine="0"/>
        <w:jc w:val="both"/>
      </w:pPr>
      <w:r w:rsidRPr="00C55F2E">
        <w:lastRenderedPageBreak/>
        <w:t xml:space="preserve"> </w:t>
      </w:r>
    </w:p>
    <w:p w14:paraId="117B9C7C" w14:textId="77777777" w:rsidR="007229C2" w:rsidRPr="00C55F2E" w:rsidRDefault="007229C2" w:rsidP="0019233F">
      <w:pPr>
        <w:spacing w:after="0" w:line="259" w:lineRule="auto"/>
        <w:ind w:left="0" w:firstLine="0"/>
        <w:jc w:val="both"/>
      </w:pPr>
      <w:r w:rsidRPr="00C55F2E">
        <w:t xml:space="preserve">There are 8 separate user roles on SIS allowing access and administration to be tailored to the individual’s role: </w:t>
      </w:r>
    </w:p>
    <w:p w14:paraId="4E2F0EAC" w14:textId="77777777" w:rsidR="007229C2" w:rsidRPr="00C55F2E" w:rsidRDefault="007229C2" w:rsidP="007229C2">
      <w:pPr>
        <w:spacing w:after="21" w:line="259" w:lineRule="auto"/>
        <w:ind w:left="0" w:firstLine="0"/>
      </w:pPr>
      <w:r w:rsidRPr="00C55F2E">
        <w:t xml:space="preserve"> </w:t>
      </w:r>
    </w:p>
    <w:p w14:paraId="7E52BD37" w14:textId="77777777" w:rsidR="007229C2" w:rsidRPr="00C55F2E" w:rsidRDefault="007229C2" w:rsidP="00903195">
      <w:pPr>
        <w:numPr>
          <w:ilvl w:val="0"/>
          <w:numId w:val="17"/>
        </w:numPr>
        <w:spacing w:line="247" w:lineRule="auto"/>
        <w:ind w:left="738" w:hanging="454"/>
      </w:pPr>
      <w:r w:rsidRPr="00C55F2E">
        <w:t xml:space="preserve">Student Information Service User Administrator </w:t>
      </w:r>
    </w:p>
    <w:p w14:paraId="4731D3ED" w14:textId="77777777" w:rsidR="007229C2" w:rsidRPr="00C55F2E" w:rsidRDefault="007229C2" w:rsidP="00903195">
      <w:pPr>
        <w:numPr>
          <w:ilvl w:val="0"/>
          <w:numId w:val="17"/>
        </w:numPr>
        <w:spacing w:line="247" w:lineRule="auto"/>
        <w:ind w:left="738" w:hanging="454"/>
      </w:pPr>
      <w:r w:rsidRPr="00C55F2E">
        <w:t xml:space="preserve">Student Information Advisor </w:t>
      </w:r>
    </w:p>
    <w:p w14:paraId="5D9C0922" w14:textId="77777777" w:rsidR="007229C2" w:rsidRPr="00C55F2E" w:rsidRDefault="007229C2" w:rsidP="00903195">
      <w:pPr>
        <w:numPr>
          <w:ilvl w:val="0"/>
          <w:numId w:val="17"/>
        </w:numPr>
        <w:spacing w:line="247" w:lineRule="auto"/>
        <w:ind w:left="738" w:hanging="454"/>
      </w:pPr>
      <w:r w:rsidRPr="00C55F2E">
        <w:t xml:space="preserve">HEI Attendance Administrator </w:t>
      </w:r>
    </w:p>
    <w:p w14:paraId="4617359E" w14:textId="77777777" w:rsidR="007229C2" w:rsidRPr="00C55F2E" w:rsidRDefault="007229C2" w:rsidP="00903195">
      <w:pPr>
        <w:numPr>
          <w:ilvl w:val="0"/>
          <w:numId w:val="17"/>
        </w:numPr>
        <w:spacing w:line="247" w:lineRule="auto"/>
        <w:ind w:left="738" w:hanging="454"/>
      </w:pPr>
      <w:r w:rsidRPr="00C55F2E">
        <w:t xml:space="preserve">Registration Advisor </w:t>
      </w:r>
    </w:p>
    <w:p w14:paraId="0370C731" w14:textId="77777777" w:rsidR="007229C2" w:rsidRPr="00C55F2E" w:rsidRDefault="007229C2" w:rsidP="00903195">
      <w:pPr>
        <w:numPr>
          <w:ilvl w:val="0"/>
          <w:numId w:val="17"/>
        </w:numPr>
        <w:spacing w:line="247" w:lineRule="auto"/>
        <w:ind w:left="738" w:hanging="454"/>
      </w:pPr>
      <w:r w:rsidRPr="00C55F2E">
        <w:t xml:space="preserve">Combined Confirmation Administrator </w:t>
      </w:r>
    </w:p>
    <w:p w14:paraId="18965FA5" w14:textId="504BA8CC" w:rsidR="007229C2" w:rsidRPr="00C55F2E" w:rsidRDefault="007229C2" w:rsidP="00903195">
      <w:pPr>
        <w:numPr>
          <w:ilvl w:val="0"/>
          <w:numId w:val="17"/>
        </w:numPr>
        <w:spacing w:line="247" w:lineRule="auto"/>
        <w:ind w:left="738" w:hanging="454"/>
      </w:pPr>
      <w:r w:rsidRPr="00C55F2E">
        <w:t>Change of Circumstance</w:t>
      </w:r>
      <w:r w:rsidR="007537F5">
        <w:t xml:space="preserve"> </w:t>
      </w:r>
      <w:r w:rsidRPr="00C55F2E">
        <w:t xml:space="preserve">Administrator </w:t>
      </w:r>
    </w:p>
    <w:p w14:paraId="5BE0034C" w14:textId="09E77DA5" w:rsidR="007229C2" w:rsidRPr="00C55F2E" w:rsidRDefault="007229C2" w:rsidP="00903195">
      <w:pPr>
        <w:numPr>
          <w:ilvl w:val="0"/>
          <w:numId w:val="17"/>
        </w:numPr>
        <w:spacing w:line="247" w:lineRule="auto"/>
        <w:ind w:left="738" w:hanging="454"/>
      </w:pPr>
      <w:r w:rsidRPr="00C55F2E">
        <w:t>Change of Circumstance</w:t>
      </w:r>
      <w:r w:rsidR="007537F5">
        <w:t xml:space="preserve"> </w:t>
      </w:r>
      <w:r w:rsidRPr="00C55F2E">
        <w:t xml:space="preserve">Advisor </w:t>
      </w:r>
    </w:p>
    <w:p w14:paraId="3BEB69F4" w14:textId="77777777" w:rsidR="007229C2" w:rsidRPr="00C55F2E" w:rsidRDefault="007229C2" w:rsidP="00903195">
      <w:pPr>
        <w:numPr>
          <w:ilvl w:val="0"/>
          <w:numId w:val="17"/>
        </w:numPr>
        <w:spacing w:line="247" w:lineRule="auto"/>
        <w:ind w:left="738" w:hanging="454"/>
      </w:pPr>
      <w:r w:rsidRPr="00C55F2E">
        <w:t xml:space="preserve">SIS Report Advisor </w:t>
      </w:r>
    </w:p>
    <w:p w14:paraId="514C8C55" w14:textId="77777777" w:rsidR="007229C2" w:rsidRPr="00C55F2E" w:rsidRDefault="007229C2" w:rsidP="007229C2">
      <w:pPr>
        <w:spacing w:after="0" w:line="259" w:lineRule="auto"/>
        <w:ind w:left="0" w:firstLine="0"/>
      </w:pPr>
      <w:r w:rsidRPr="00C55F2E">
        <w:rPr>
          <w:sz w:val="23"/>
        </w:rPr>
        <w:t xml:space="preserve"> </w:t>
      </w:r>
    </w:p>
    <w:p w14:paraId="00B078CB" w14:textId="77777777" w:rsidR="007229C2" w:rsidRPr="00C55F2E" w:rsidRDefault="007229C2" w:rsidP="007229C2">
      <w:pPr>
        <w:ind w:left="-5"/>
      </w:pPr>
      <w:r w:rsidRPr="00C55F2E">
        <w:t xml:space="preserve">You can raise access issues to SIS by emailing </w:t>
      </w:r>
      <w:r w:rsidRPr="00C55F2E">
        <w:rPr>
          <w:color w:val="0000FF"/>
          <w:u w:val="single" w:color="0000FF"/>
        </w:rPr>
        <w:t>hep_services@slc.co.uk</w:t>
      </w:r>
      <w:r w:rsidRPr="00C55F2E">
        <w:t xml:space="preserve">. </w:t>
      </w:r>
    </w:p>
    <w:p w14:paraId="6C0CA51E" w14:textId="77777777" w:rsidR="007229C2" w:rsidRPr="00C55F2E" w:rsidRDefault="007229C2" w:rsidP="00903195">
      <w:pPr>
        <w:pStyle w:val="Heading1"/>
        <w:spacing w:before="240" w:after="240" w:line="247" w:lineRule="auto"/>
        <w:ind w:left="-6" w:hanging="11"/>
        <w:rPr>
          <w:rFonts w:ascii="Calibri" w:hAnsi="Calibri" w:cs="Calibri"/>
        </w:rPr>
      </w:pPr>
      <w:bookmarkStart w:id="24" w:name="_Toc225775757"/>
      <w:r w:rsidRPr="00C55F2E">
        <w:rPr>
          <w:rFonts w:ascii="Calibri" w:hAnsi="Calibri" w:cs="Calibri"/>
        </w:rPr>
        <w:t>System availability</w:t>
      </w:r>
      <w:bookmarkEnd w:id="24"/>
      <w:r w:rsidRPr="00C55F2E">
        <w:rPr>
          <w:rFonts w:ascii="Calibri" w:hAnsi="Calibri" w:cs="Calibri"/>
        </w:rPr>
        <w:t xml:space="preserve"> </w:t>
      </w:r>
    </w:p>
    <w:p w14:paraId="4D9A62EC" w14:textId="7BBC6F9A" w:rsidR="007229C2" w:rsidRPr="00C55F2E" w:rsidRDefault="007229C2" w:rsidP="00716AF1">
      <w:pPr>
        <w:spacing w:after="0" w:line="259" w:lineRule="auto"/>
        <w:ind w:left="0" w:firstLine="0"/>
        <w:jc w:val="both"/>
      </w:pPr>
      <w:r w:rsidRPr="00C55F2E">
        <w:t xml:space="preserve">We provide as much notice as is reasonably possible if the HE Gateway will be unavailable due to planned maintenance or system upgrading. In the event of scheduled or unscheduled downtime, we will notify you by email. </w:t>
      </w:r>
    </w:p>
    <w:p w14:paraId="36D1D4CC" w14:textId="77777777" w:rsidR="007229C2" w:rsidRPr="00C55F2E" w:rsidRDefault="007229C2" w:rsidP="007229C2">
      <w:pPr>
        <w:spacing w:after="0" w:line="259" w:lineRule="auto"/>
        <w:ind w:left="0" w:firstLine="0"/>
      </w:pPr>
      <w:r w:rsidRPr="00C55F2E">
        <w:t xml:space="preserve"> </w:t>
      </w:r>
    </w:p>
    <w:p w14:paraId="2ADD6084" w14:textId="619C4149" w:rsidR="007229C2" w:rsidRPr="00C55F2E" w:rsidRDefault="007229C2" w:rsidP="0019233F">
      <w:pPr>
        <w:spacing w:line="247" w:lineRule="auto"/>
        <w:ind w:left="0" w:firstLine="0"/>
        <w:jc w:val="both"/>
      </w:pPr>
      <w:r w:rsidRPr="00C55F2E">
        <w:t xml:space="preserve">The system will be supported from 9:00 am to 5:30 pm Monday to Friday (excluding Scottish public holidays). You can access the system outside of these business </w:t>
      </w:r>
      <w:r w:rsidR="0019233F" w:rsidRPr="00C55F2E">
        <w:t>hours,</w:t>
      </w:r>
      <w:r w:rsidRPr="00C55F2E">
        <w:t xml:space="preserve"> but it will be unsupported. </w:t>
      </w:r>
    </w:p>
    <w:p w14:paraId="09CC6998" w14:textId="77777777" w:rsidR="007229C2" w:rsidRPr="00C55F2E" w:rsidRDefault="007229C2" w:rsidP="007229C2">
      <w:pPr>
        <w:spacing w:after="0" w:line="259" w:lineRule="auto"/>
        <w:ind w:left="0" w:firstLine="0"/>
      </w:pPr>
      <w:r w:rsidRPr="00C55F2E">
        <w:t xml:space="preserve"> </w:t>
      </w:r>
    </w:p>
    <w:p w14:paraId="32734D3F" w14:textId="3919828F" w:rsidR="007229C2" w:rsidRPr="00C55F2E" w:rsidRDefault="007229C2" w:rsidP="00F165A2">
      <w:pPr>
        <w:spacing w:line="247" w:lineRule="auto"/>
        <w:ind w:left="0" w:firstLine="0"/>
        <w:jc w:val="both"/>
      </w:pPr>
      <w:r w:rsidRPr="00C55F2E">
        <w:t>If you identify a system issue or defect, please notify our</w:t>
      </w:r>
      <w:hyperlink r:id="rId39">
        <w:r w:rsidRPr="00C55F2E">
          <w:t xml:space="preserve"> </w:t>
        </w:r>
      </w:hyperlink>
      <w:hyperlink r:id="rId40">
        <w:r w:rsidRPr="00C55F2E">
          <w:rPr>
            <w:color w:val="0000FF"/>
            <w:u w:val="single" w:color="0000FF"/>
          </w:rPr>
          <w:t>Partners Support Desk</w:t>
        </w:r>
      </w:hyperlink>
      <w:hyperlink r:id="rId41">
        <w:r w:rsidRPr="00C55F2E">
          <w:t xml:space="preserve"> </w:t>
        </w:r>
      </w:hyperlink>
      <w:r w:rsidRPr="00C55F2E">
        <w:t xml:space="preserve">with details of the problem. </w:t>
      </w:r>
      <w:r w:rsidRPr="00C55F2E">
        <w:rPr>
          <w:sz w:val="22"/>
        </w:rPr>
        <w:tab/>
      </w:r>
      <w:r w:rsidRPr="00C55F2E">
        <w:rPr>
          <w:b/>
          <w:sz w:val="28"/>
        </w:rPr>
        <w:t xml:space="preserve"> </w:t>
      </w:r>
    </w:p>
    <w:p w14:paraId="0C673F75" w14:textId="77777777" w:rsidR="007229C2" w:rsidRPr="00C55F2E" w:rsidRDefault="007229C2" w:rsidP="00903195">
      <w:pPr>
        <w:pStyle w:val="Heading1"/>
        <w:spacing w:before="240" w:after="240" w:line="247" w:lineRule="auto"/>
        <w:ind w:left="-6" w:hanging="11"/>
        <w:rPr>
          <w:rFonts w:ascii="Calibri" w:hAnsi="Calibri" w:cs="Calibri"/>
        </w:rPr>
      </w:pPr>
      <w:bookmarkStart w:id="25" w:name="_Toc225775758"/>
      <w:r w:rsidRPr="00C55F2E">
        <w:rPr>
          <w:rFonts w:ascii="Calibri" w:hAnsi="Calibri" w:cs="Calibri"/>
        </w:rPr>
        <w:t>Management information</w:t>
      </w:r>
      <w:bookmarkEnd w:id="25"/>
      <w:r w:rsidRPr="00C55F2E">
        <w:rPr>
          <w:rFonts w:ascii="Calibri" w:hAnsi="Calibri" w:cs="Calibri"/>
        </w:rPr>
        <w:t xml:space="preserve"> </w:t>
      </w:r>
    </w:p>
    <w:p w14:paraId="17527B98" w14:textId="5CD94D38" w:rsidR="007229C2" w:rsidRPr="00C55F2E" w:rsidRDefault="007229C2" w:rsidP="00F165A2">
      <w:pPr>
        <w:spacing w:line="247" w:lineRule="auto"/>
        <w:ind w:left="0" w:firstLine="0"/>
        <w:jc w:val="both"/>
      </w:pPr>
      <w:r w:rsidRPr="00C55F2E">
        <w:t xml:space="preserve">The system generates management information using the data on SIS for internal monitoring purposes. This helps us to improve business processes and provides the ability to report on sector performance against the service standards included in the Service Agreement.  </w:t>
      </w:r>
    </w:p>
    <w:p w14:paraId="525C3A67" w14:textId="77777777" w:rsidR="007229C2" w:rsidRPr="00C55F2E" w:rsidRDefault="007229C2" w:rsidP="00903195">
      <w:pPr>
        <w:pStyle w:val="Heading1"/>
        <w:spacing w:before="240" w:after="240" w:line="247" w:lineRule="auto"/>
        <w:ind w:left="-6" w:hanging="11"/>
        <w:rPr>
          <w:rFonts w:ascii="Calibri" w:hAnsi="Calibri" w:cs="Calibri"/>
        </w:rPr>
      </w:pPr>
      <w:bookmarkStart w:id="26" w:name="_Toc225775759"/>
      <w:r w:rsidRPr="00C55F2E">
        <w:rPr>
          <w:rFonts w:ascii="Calibri" w:hAnsi="Calibri" w:cs="Calibri"/>
        </w:rPr>
        <w:t>Maintenance and enhancements</w:t>
      </w:r>
      <w:bookmarkEnd w:id="26"/>
      <w:r w:rsidRPr="00C55F2E">
        <w:rPr>
          <w:rFonts w:ascii="Calibri" w:hAnsi="Calibri" w:cs="Calibri"/>
        </w:rPr>
        <w:t xml:space="preserve"> </w:t>
      </w:r>
    </w:p>
    <w:p w14:paraId="301DF140" w14:textId="77777777" w:rsidR="007229C2" w:rsidRPr="00C55F2E" w:rsidRDefault="007229C2" w:rsidP="00D345EA">
      <w:pPr>
        <w:spacing w:line="247" w:lineRule="auto"/>
        <w:ind w:left="0" w:firstLine="0"/>
        <w:jc w:val="both"/>
      </w:pPr>
      <w:r w:rsidRPr="00C55F2E">
        <w:t xml:space="preserve">We are responsible for the upkeep of the service and for providing system updates on any issues that are impacting system performance through Release Notes. We will communicate any enhancements to the service through email updates, release notes and updates to the guidance documents. </w:t>
      </w:r>
    </w:p>
    <w:p w14:paraId="655D8EEE" w14:textId="77777777" w:rsidR="007229C2" w:rsidRPr="00C55F2E" w:rsidRDefault="007229C2" w:rsidP="007229C2">
      <w:pPr>
        <w:pStyle w:val="Heading1"/>
        <w:ind w:left="-5"/>
        <w:rPr>
          <w:rFonts w:ascii="Calibri" w:hAnsi="Calibri" w:cs="Calibri"/>
        </w:rPr>
      </w:pPr>
      <w:bookmarkStart w:id="27" w:name="_Toc225775760"/>
      <w:r w:rsidRPr="00C55F2E">
        <w:rPr>
          <w:rFonts w:ascii="Calibri" w:hAnsi="Calibri" w:cs="Calibri"/>
        </w:rPr>
        <w:lastRenderedPageBreak/>
        <w:t>Student Loans Company responsibilities</w:t>
      </w:r>
      <w:bookmarkEnd w:id="27"/>
      <w:r w:rsidRPr="00C55F2E">
        <w:rPr>
          <w:rFonts w:ascii="Calibri" w:hAnsi="Calibri" w:cs="Calibri"/>
        </w:rPr>
        <w:t xml:space="preserve"> </w:t>
      </w:r>
    </w:p>
    <w:p w14:paraId="4A0808BB" w14:textId="77777777" w:rsidR="007229C2" w:rsidRPr="00C55F2E" w:rsidRDefault="007229C2" w:rsidP="00D03B12">
      <w:pPr>
        <w:pStyle w:val="Heading2"/>
        <w:spacing w:before="240" w:after="240" w:line="247" w:lineRule="auto"/>
        <w:ind w:left="-6" w:hanging="11"/>
        <w:rPr>
          <w:rFonts w:ascii="Calibri" w:hAnsi="Calibri" w:cs="Calibri"/>
        </w:rPr>
      </w:pPr>
      <w:bookmarkStart w:id="28" w:name="_Toc225775761"/>
      <w:r w:rsidRPr="00C55F2E">
        <w:rPr>
          <w:rFonts w:ascii="Calibri" w:hAnsi="Calibri" w:cs="Calibri"/>
        </w:rPr>
        <w:t>System</w:t>
      </w:r>
      <w:bookmarkEnd w:id="28"/>
      <w:r w:rsidRPr="00C55F2E">
        <w:rPr>
          <w:rFonts w:ascii="Calibri" w:hAnsi="Calibri" w:cs="Calibri"/>
        </w:rPr>
        <w:t xml:space="preserve"> </w:t>
      </w:r>
    </w:p>
    <w:p w14:paraId="0FC9CED0" w14:textId="79269084" w:rsidR="007229C2" w:rsidRPr="00C55F2E" w:rsidRDefault="007229C2" w:rsidP="00716AF1">
      <w:pPr>
        <w:spacing w:after="0" w:line="259" w:lineRule="auto"/>
        <w:ind w:left="0" w:firstLine="0"/>
        <w:jc w:val="both"/>
      </w:pPr>
      <w:r w:rsidRPr="00C55F2E">
        <w:t xml:space="preserve">The minimum availability of SIS is 99% of the supported window (excluding any period of scheduled maintenance). </w:t>
      </w:r>
    </w:p>
    <w:p w14:paraId="4C0FBA95" w14:textId="77777777" w:rsidR="007229C2" w:rsidRPr="00C55F2E" w:rsidRDefault="007229C2" w:rsidP="00D345EA">
      <w:pPr>
        <w:spacing w:after="0" w:line="259" w:lineRule="auto"/>
        <w:ind w:left="0" w:firstLine="0"/>
        <w:jc w:val="both"/>
      </w:pPr>
      <w:r w:rsidRPr="00C55F2E">
        <w:t xml:space="preserve"> </w:t>
      </w:r>
    </w:p>
    <w:p w14:paraId="1275C8BD" w14:textId="77777777" w:rsidR="007229C2" w:rsidRPr="00C55F2E" w:rsidRDefault="007229C2" w:rsidP="00D345EA">
      <w:pPr>
        <w:ind w:left="0" w:firstLine="0"/>
        <w:jc w:val="both"/>
      </w:pPr>
      <w:r w:rsidRPr="00C55F2E">
        <w:t xml:space="preserve">We are to notify all the named contacts by email when SIS is temporarily unavailable and will confirm when the system is fully available once again. </w:t>
      </w:r>
    </w:p>
    <w:p w14:paraId="4BA2AFA2" w14:textId="77777777" w:rsidR="007229C2" w:rsidRPr="00C55F2E" w:rsidRDefault="007229C2" w:rsidP="00D345EA">
      <w:pPr>
        <w:spacing w:after="0" w:line="259" w:lineRule="auto"/>
        <w:ind w:left="0" w:firstLine="0"/>
        <w:jc w:val="both"/>
      </w:pPr>
      <w:r w:rsidRPr="00C55F2E">
        <w:rPr>
          <w:sz w:val="23"/>
        </w:rPr>
        <w:t xml:space="preserve"> </w:t>
      </w:r>
    </w:p>
    <w:p w14:paraId="3B38C3CD" w14:textId="77777777" w:rsidR="007229C2" w:rsidRPr="00C55F2E" w:rsidRDefault="007229C2" w:rsidP="00D345EA">
      <w:pPr>
        <w:ind w:left="0" w:firstLine="0"/>
        <w:jc w:val="both"/>
      </w:pPr>
      <w:r w:rsidRPr="00C55F2E">
        <w:t xml:space="preserve">99% of newly approved student details will appear on the HE Gateway within 24 hours of their application being approved. </w:t>
      </w:r>
    </w:p>
    <w:p w14:paraId="0BBC632C" w14:textId="77777777" w:rsidR="007229C2" w:rsidRPr="00C55F2E" w:rsidRDefault="007229C2" w:rsidP="00D345EA">
      <w:pPr>
        <w:spacing w:after="0" w:line="259" w:lineRule="auto"/>
        <w:ind w:left="0" w:firstLine="0"/>
        <w:jc w:val="both"/>
      </w:pPr>
      <w:r w:rsidRPr="00C55F2E">
        <w:t xml:space="preserve"> </w:t>
      </w:r>
    </w:p>
    <w:p w14:paraId="55353E57" w14:textId="42816AE1" w:rsidR="007229C2" w:rsidRPr="00C55F2E" w:rsidRDefault="007229C2" w:rsidP="00D345EA">
      <w:pPr>
        <w:ind w:left="0" w:firstLine="0"/>
        <w:jc w:val="both"/>
      </w:pPr>
      <w:r w:rsidRPr="00C55F2E">
        <w:t xml:space="preserve">Students are to appear on the Registration Worklist 30 days before their course start date. </w:t>
      </w:r>
    </w:p>
    <w:p w14:paraId="76A561A6" w14:textId="77777777" w:rsidR="007229C2" w:rsidRPr="00C55F2E" w:rsidRDefault="007229C2" w:rsidP="00D345EA">
      <w:pPr>
        <w:spacing w:after="0" w:line="259" w:lineRule="auto"/>
        <w:ind w:left="0" w:firstLine="0"/>
        <w:jc w:val="both"/>
      </w:pPr>
      <w:r w:rsidRPr="00C55F2E">
        <w:rPr>
          <w:sz w:val="23"/>
        </w:rPr>
        <w:t xml:space="preserve"> </w:t>
      </w:r>
    </w:p>
    <w:p w14:paraId="41A01989" w14:textId="3B5EE8B5" w:rsidR="007229C2" w:rsidRPr="00C55F2E" w:rsidRDefault="007229C2" w:rsidP="00D345EA">
      <w:pPr>
        <w:ind w:left="0" w:firstLine="0"/>
        <w:jc w:val="both"/>
      </w:pPr>
      <w:r w:rsidRPr="00C55F2E">
        <w:t xml:space="preserve">Students are to appear on the Attendance Worklist </w:t>
      </w:r>
      <w:r w:rsidR="00127010" w:rsidRPr="00C55F2E">
        <w:t xml:space="preserve">14 days after </w:t>
      </w:r>
      <w:r w:rsidR="00DA7700" w:rsidRPr="00C55F2E">
        <w:t xml:space="preserve">the module or course start date and thereafter on the </w:t>
      </w:r>
      <w:r w:rsidR="0002220B" w:rsidRPr="00C55F2E">
        <w:t xml:space="preserve">appropriate </w:t>
      </w:r>
      <w:r w:rsidR="007A28B0" w:rsidRPr="00C55F2E">
        <w:t xml:space="preserve">payment </w:t>
      </w:r>
      <w:r w:rsidR="0002220B" w:rsidRPr="00C55F2E">
        <w:t>points.</w:t>
      </w:r>
    </w:p>
    <w:p w14:paraId="36007CE7" w14:textId="77777777" w:rsidR="007229C2" w:rsidRPr="00C55F2E" w:rsidRDefault="007229C2" w:rsidP="00D345EA">
      <w:pPr>
        <w:spacing w:after="0" w:line="259" w:lineRule="auto"/>
        <w:ind w:left="0" w:firstLine="0"/>
        <w:jc w:val="both"/>
      </w:pPr>
      <w:r w:rsidRPr="00C55F2E">
        <w:rPr>
          <w:sz w:val="23"/>
        </w:rPr>
        <w:t xml:space="preserve"> </w:t>
      </w:r>
    </w:p>
    <w:p w14:paraId="4BC4857B" w14:textId="77777777" w:rsidR="007229C2" w:rsidRPr="00C55F2E" w:rsidRDefault="007229C2" w:rsidP="00D345EA">
      <w:pPr>
        <w:ind w:left="0" w:firstLine="0"/>
        <w:jc w:val="both"/>
      </w:pPr>
      <w:r w:rsidRPr="00C55F2E">
        <w:t xml:space="preserve">We will process Attendance and Registration Import files, and return results, within 24 hours of submission. </w:t>
      </w:r>
    </w:p>
    <w:p w14:paraId="4D41982C" w14:textId="77777777" w:rsidR="007229C2" w:rsidRPr="00C55F2E" w:rsidRDefault="007229C2" w:rsidP="00D345EA">
      <w:pPr>
        <w:spacing w:after="0" w:line="259" w:lineRule="auto"/>
        <w:ind w:left="0" w:firstLine="0"/>
        <w:jc w:val="both"/>
      </w:pPr>
      <w:r w:rsidRPr="00C55F2E">
        <w:t xml:space="preserve"> </w:t>
      </w:r>
    </w:p>
    <w:p w14:paraId="6877BDAD" w14:textId="060281F7" w:rsidR="007229C2" w:rsidRPr="00C55F2E" w:rsidRDefault="007229C2" w:rsidP="00D345EA">
      <w:pPr>
        <w:ind w:left="0" w:firstLine="0"/>
        <w:jc w:val="both"/>
      </w:pPr>
      <w:r w:rsidRPr="00C55F2E">
        <w:t>The financial reports</w:t>
      </w:r>
      <w:r w:rsidRPr="00C55F2E">
        <w:rPr>
          <w:i/>
        </w:rPr>
        <w:t xml:space="preserve"> </w:t>
      </w:r>
      <w:r w:rsidRPr="00C55F2E">
        <w:t xml:space="preserve">schedules are as follows: </w:t>
      </w:r>
    </w:p>
    <w:p w14:paraId="54B4930D" w14:textId="77777777" w:rsidR="007229C2" w:rsidRPr="00C55F2E" w:rsidRDefault="007229C2" w:rsidP="007229C2">
      <w:pPr>
        <w:spacing w:after="25" w:line="259" w:lineRule="auto"/>
        <w:ind w:left="0" w:firstLine="0"/>
      </w:pPr>
      <w:r w:rsidRPr="00C55F2E">
        <w:t xml:space="preserve"> </w:t>
      </w:r>
    </w:p>
    <w:p w14:paraId="2E7A4792" w14:textId="77777777" w:rsidR="007229C2" w:rsidRPr="00C55F2E" w:rsidRDefault="007229C2" w:rsidP="00D03B12">
      <w:pPr>
        <w:numPr>
          <w:ilvl w:val="0"/>
          <w:numId w:val="18"/>
        </w:numPr>
        <w:spacing w:line="247" w:lineRule="auto"/>
        <w:ind w:left="738" w:hanging="454"/>
        <w:jc w:val="both"/>
      </w:pPr>
      <w:r w:rsidRPr="00C55F2E">
        <w:t xml:space="preserve">the Tuition Fee Forecast Report will be refreshed on a weekly basis on a Friday evening </w:t>
      </w:r>
    </w:p>
    <w:p w14:paraId="24186A75" w14:textId="77777777" w:rsidR="007229C2" w:rsidRPr="00C55F2E" w:rsidRDefault="007229C2" w:rsidP="00D03B12">
      <w:pPr>
        <w:numPr>
          <w:ilvl w:val="0"/>
          <w:numId w:val="18"/>
        </w:numPr>
        <w:spacing w:line="247" w:lineRule="auto"/>
        <w:ind w:left="738" w:hanging="454"/>
        <w:jc w:val="both"/>
      </w:pPr>
      <w:r w:rsidRPr="00C55F2E">
        <w:t xml:space="preserve">the Tuition Fee Balance Report will be refreshed on a weekly basis on a Wednesday evening </w:t>
      </w:r>
    </w:p>
    <w:p w14:paraId="57B8C9BE" w14:textId="77777777" w:rsidR="007229C2" w:rsidRPr="00C55F2E" w:rsidRDefault="007229C2" w:rsidP="00D03B12">
      <w:pPr>
        <w:numPr>
          <w:ilvl w:val="0"/>
          <w:numId w:val="18"/>
        </w:numPr>
        <w:spacing w:line="247" w:lineRule="auto"/>
        <w:ind w:left="738" w:hanging="454"/>
        <w:jc w:val="both"/>
      </w:pPr>
      <w:r w:rsidRPr="00C55F2E">
        <w:t xml:space="preserve">the Tuition Fee Remittance Reports will be produced weekly on a Wednesday evening </w:t>
      </w:r>
    </w:p>
    <w:p w14:paraId="6720638D" w14:textId="77777777" w:rsidR="007229C2" w:rsidRPr="00C55F2E" w:rsidRDefault="007229C2" w:rsidP="00D03B12">
      <w:pPr>
        <w:numPr>
          <w:ilvl w:val="0"/>
          <w:numId w:val="18"/>
        </w:numPr>
        <w:spacing w:line="247" w:lineRule="auto"/>
        <w:ind w:left="738" w:hanging="454"/>
        <w:jc w:val="both"/>
      </w:pPr>
      <w:r w:rsidRPr="00C55F2E">
        <w:t xml:space="preserve">the Blocked Maintenance Payments Report will be refreshed on a weekly basis on a Friday evening </w:t>
      </w:r>
    </w:p>
    <w:p w14:paraId="681B7A8C" w14:textId="77777777" w:rsidR="007229C2" w:rsidRPr="00C55F2E" w:rsidRDefault="007229C2" w:rsidP="00D03B12">
      <w:pPr>
        <w:pStyle w:val="Heading2"/>
        <w:spacing w:before="240" w:after="240" w:line="247" w:lineRule="auto"/>
        <w:ind w:left="-6" w:hanging="11"/>
        <w:rPr>
          <w:rFonts w:ascii="Calibri" w:hAnsi="Calibri" w:cs="Calibri"/>
        </w:rPr>
      </w:pPr>
      <w:bookmarkStart w:id="29" w:name="_Toc225775762"/>
      <w:r w:rsidRPr="00C55F2E">
        <w:rPr>
          <w:rFonts w:ascii="Calibri" w:hAnsi="Calibri" w:cs="Calibri"/>
        </w:rPr>
        <w:t>Change of Circumstance processing</w:t>
      </w:r>
      <w:bookmarkEnd w:id="29"/>
      <w:r w:rsidRPr="00C55F2E">
        <w:rPr>
          <w:rFonts w:ascii="Calibri" w:hAnsi="Calibri" w:cs="Calibri"/>
        </w:rPr>
        <w:t xml:space="preserve"> </w:t>
      </w:r>
    </w:p>
    <w:p w14:paraId="0A5A5E03" w14:textId="77777777" w:rsidR="007229C2" w:rsidRPr="00C55F2E" w:rsidRDefault="007229C2" w:rsidP="004A3C0C">
      <w:pPr>
        <w:ind w:left="-5"/>
        <w:jc w:val="both"/>
      </w:pPr>
      <w:r w:rsidRPr="00C55F2E">
        <w:t xml:space="preserve">The service standard for manual CoC processing is 30 working days in peak periods and 20 working days outside of peak periods. </w:t>
      </w:r>
    </w:p>
    <w:p w14:paraId="47D544ED" w14:textId="77777777" w:rsidR="007229C2" w:rsidRPr="00C55F2E" w:rsidRDefault="007229C2" w:rsidP="004A3C0C">
      <w:pPr>
        <w:spacing w:after="0" w:line="259" w:lineRule="auto"/>
        <w:ind w:left="0" w:firstLine="0"/>
        <w:jc w:val="both"/>
      </w:pPr>
      <w:r w:rsidRPr="00C55F2E">
        <w:t xml:space="preserve"> </w:t>
      </w:r>
    </w:p>
    <w:p w14:paraId="5BC2010A" w14:textId="77777777" w:rsidR="007229C2" w:rsidRPr="00C55F2E" w:rsidRDefault="007229C2" w:rsidP="004A3C0C">
      <w:pPr>
        <w:ind w:left="-5"/>
        <w:jc w:val="both"/>
      </w:pPr>
      <w:r w:rsidRPr="00C55F2E">
        <w:t xml:space="preserve">The processing time for automated CoCs is 48 hours where it meets the system validations for automated processing. </w:t>
      </w:r>
    </w:p>
    <w:p w14:paraId="177B1C09" w14:textId="77777777" w:rsidR="007229C2" w:rsidRPr="00C55F2E" w:rsidRDefault="007229C2" w:rsidP="00D03B12">
      <w:pPr>
        <w:pStyle w:val="Heading2"/>
        <w:spacing w:before="240" w:after="240" w:line="247" w:lineRule="auto"/>
        <w:ind w:left="-6" w:hanging="11"/>
        <w:rPr>
          <w:rFonts w:ascii="Calibri" w:hAnsi="Calibri" w:cs="Calibri"/>
        </w:rPr>
      </w:pPr>
      <w:bookmarkStart w:id="30" w:name="_Toc225775763"/>
      <w:r w:rsidRPr="00C55F2E">
        <w:rPr>
          <w:rFonts w:ascii="Calibri" w:hAnsi="Calibri" w:cs="Calibri"/>
        </w:rPr>
        <w:t>Payments</w:t>
      </w:r>
      <w:bookmarkEnd w:id="30"/>
      <w:r w:rsidRPr="00C55F2E">
        <w:rPr>
          <w:rFonts w:ascii="Calibri" w:hAnsi="Calibri" w:cs="Calibri"/>
        </w:rPr>
        <w:t xml:space="preserve"> </w:t>
      </w:r>
    </w:p>
    <w:p w14:paraId="3CA8A5D3" w14:textId="53F4E1AE" w:rsidR="007229C2" w:rsidRPr="00C55F2E" w:rsidRDefault="007229C2" w:rsidP="00716AF1">
      <w:pPr>
        <w:spacing w:after="0" w:line="259" w:lineRule="auto"/>
        <w:ind w:left="0" w:firstLine="0"/>
        <w:jc w:val="both"/>
      </w:pPr>
      <w:r w:rsidRPr="00C55F2E">
        <w:t xml:space="preserve">We will make tuition fee payments that you are due when you confirm students’ ongoing attendance before the cut-off date for BACS processing (please refer to the support section for information about these deadlines). We will make the tuition payments via BACS into the nominated bank account of the </w:t>
      </w:r>
      <w:r w:rsidR="003549EB" w:rsidRPr="00C55F2E">
        <w:t>HEP</w:t>
      </w:r>
      <w:r w:rsidRPr="00C55F2E">
        <w:t>.</w:t>
      </w:r>
      <w:r w:rsidRPr="00C55F2E">
        <w:rPr>
          <w:sz w:val="20"/>
        </w:rPr>
        <w:t xml:space="preserve"> </w:t>
      </w:r>
    </w:p>
    <w:p w14:paraId="2CEE751B" w14:textId="77777777" w:rsidR="007229C2" w:rsidRPr="00C55F2E" w:rsidRDefault="007229C2" w:rsidP="004A3C0C">
      <w:pPr>
        <w:spacing w:after="0" w:line="259" w:lineRule="auto"/>
        <w:ind w:left="0" w:firstLine="0"/>
        <w:jc w:val="both"/>
      </w:pPr>
      <w:r w:rsidRPr="00C55F2E">
        <w:t xml:space="preserve"> </w:t>
      </w:r>
    </w:p>
    <w:p w14:paraId="530F6466" w14:textId="6D973F26" w:rsidR="007229C2" w:rsidRPr="00C55F2E" w:rsidRDefault="007229C2" w:rsidP="004A3C0C">
      <w:pPr>
        <w:ind w:left="-5"/>
        <w:jc w:val="both"/>
      </w:pPr>
      <w:r w:rsidRPr="00C55F2E">
        <w:lastRenderedPageBreak/>
        <w:t xml:space="preserve">Where registration confirmations are received by 4pm, we will make maintenance payments into bank accounts 2 working days later or on the first day of </w:t>
      </w:r>
      <w:r w:rsidR="003549EB" w:rsidRPr="00C55F2E">
        <w:t>the module or course</w:t>
      </w:r>
      <w:r w:rsidRPr="00C55F2E">
        <w:t xml:space="preserve">, whichever is later. We will load any files that do not meet this cut-off point overnight, and the student will receive payment within 3 working days. </w:t>
      </w:r>
    </w:p>
    <w:p w14:paraId="7D8C86C2" w14:textId="77777777" w:rsidR="007229C2" w:rsidRPr="00C55F2E" w:rsidRDefault="007229C2" w:rsidP="00D03B12">
      <w:pPr>
        <w:pStyle w:val="Heading2"/>
        <w:spacing w:before="240" w:after="240" w:line="247" w:lineRule="auto"/>
        <w:ind w:left="-6" w:hanging="11"/>
        <w:rPr>
          <w:rFonts w:ascii="Calibri" w:hAnsi="Calibri" w:cs="Calibri"/>
        </w:rPr>
      </w:pPr>
      <w:bookmarkStart w:id="31" w:name="_Toc225775764"/>
      <w:r w:rsidRPr="00C55F2E">
        <w:rPr>
          <w:rFonts w:ascii="Calibri" w:hAnsi="Calibri" w:cs="Calibri"/>
        </w:rPr>
        <w:t>Support</w:t>
      </w:r>
      <w:bookmarkEnd w:id="31"/>
      <w:r w:rsidRPr="00C55F2E">
        <w:rPr>
          <w:rFonts w:ascii="Calibri" w:hAnsi="Calibri" w:cs="Calibri"/>
        </w:rPr>
        <w:t xml:space="preserve"> </w:t>
      </w:r>
    </w:p>
    <w:p w14:paraId="00D80D92" w14:textId="77777777" w:rsidR="007229C2" w:rsidRPr="00C55F2E" w:rsidRDefault="007229C2" w:rsidP="003549EB">
      <w:pPr>
        <w:ind w:left="-5"/>
        <w:jc w:val="both"/>
      </w:pPr>
      <w:r>
        <w:t xml:space="preserve">The Partners Support Desk will answer 95% of SIS-related telephone calls within 60 seconds off-peak, and 80% in peak processing times (August to October). </w:t>
      </w:r>
    </w:p>
    <w:p w14:paraId="7B8D49B1" w14:textId="77777777" w:rsidR="007229C2" w:rsidRPr="00C55F2E" w:rsidRDefault="007229C2" w:rsidP="003549EB">
      <w:pPr>
        <w:spacing w:after="0" w:line="259" w:lineRule="auto"/>
        <w:ind w:left="0" w:firstLine="0"/>
        <w:jc w:val="both"/>
      </w:pPr>
      <w:r w:rsidRPr="00C55F2E">
        <w:t xml:space="preserve"> </w:t>
      </w:r>
    </w:p>
    <w:p w14:paraId="11D470DF" w14:textId="6DDED868" w:rsidR="007229C2" w:rsidRPr="00C55F2E" w:rsidRDefault="007229C2" w:rsidP="00F165A2">
      <w:pPr>
        <w:ind w:left="-5"/>
        <w:jc w:val="both"/>
      </w:pPr>
      <w:r w:rsidRPr="00C55F2E">
        <w:t xml:space="preserve">The Partners Support Desk will respond to 98% of email enquires within 10 days at peak processing times (August to October), and 4 days off-peak. </w:t>
      </w:r>
    </w:p>
    <w:p w14:paraId="1DFAC892" w14:textId="77777777" w:rsidR="007229C2" w:rsidRPr="00C55F2E" w:rsidRDefault="007229C2" w:rsidP="00D03B12">
      <w:pPr>
        <w:pStyle w:val="Heading1"/>
        <w:spacing w:before="240" w:after="240" w:line="247" w:lineRule="auto"/>
        <w:ind w:left="-6" w:hanging="11"/>
        <w:rPr>
          <w:rFonts w:ascii="Calibri" w:hAnsi="Calibri" w:cs="Calibri"/>
        </w:rPr>
      </w:pPr>
      <w:bookmarkStart w:id="32" w:name="_Toc225775765"/>
      <w:r w:rsidRPr="00C55F2E">
        <w:rPr>
          <w:rFonts w:ascii="Calibri" w:hAnsi="Calibri" w:cs="Calibri"/>
        </w:rPr>
        <w:t>Joint SLC and HEP Service Agreement</w:t>
      </w:r>
      <w:bookmarkEnd w:id="32"/>
      <w:r w:rsidRPr="00C55F2E">
        <w:rPr>
          <w:rFonts w:ascii="Calibri" w:hAnsi="Calibri" w:cs="Calibri"/>
        </w:rPr>
        <w:t xml:space="preserve"> </w:t>
      </w:r>
    </w:p>
    <w:p w14:paraId="02BB48A9" w14:textId="027FA2C6" w:rsidR="007229C2" w:rsidRPr="00C55F2E" w:rsidRDefault="007229C2" w:rsidP="007229C2">
      <w:pPr>
        <w:ind w:left="-5"/>
      </w:pPr>
      <w:r w:rsidRPr="00C55F2E">
        <w:t>You can find the</w:t>
      </w:r>
      <w:r w:rsidRPr="00A67818">
        <w:rPr>
          <w:color w:val="auto"/>
        </w:rPr>
        <w:t xml:space="preserve"> </w:t>
      </w:r>
      <w:hyperlink r:id="rId42">
        <w:r w:rsidRPr="003E4DB1">
          <w:rPr>
            <w:color w:val="0000FF"/>
            <w:u w:val="single"/>
          </w:rPr>
          <w:t>Joint SLC and HEP Service Agreement</w:t>
        </w:r>
      </w:hyperlink>
      <w:r w:rsidR="003E4DB1" w:rsidRPr="00C55F2E">
        <w:t xml:space="preserve"> </w:t>
      </w:r>
      <w:r w:rsidRPr="00C55F2E">
        <w:t xml:space="preserve">on the HEP Services website. </w:t>
      </w:r>
    </w:p>
    <w:p w14:paraId="6FB2BFA5" w14:textId="77777777" w:rsidR="00630BD9" w:rsidRPr="00C55F2E" w:rsidRDefault="00630BD9" w:rsidP="007A652C">
      <w:pPr>
        <w:pStyle w:val="Body12pt"/>
        <w:rPr>
          <w:rFonts w:ascii="Calibri" w:hAnsi="Calibri" w:cs="Calibri"/>
          <w:u w:val="single"/>
        </w:rPr>
      </w:pPr>
    </w:p>
    <w:p w14:paraId="6041CA4A" w14:textId="6039F38F" w:rsidR="0068529C" w:rsidRPr="00C55F2E" w:rsidRDefault="0068529C">
      <w:pPr>
        <w:spacing w:after="160" w:line="259" w:lineRule="auto"/>
        <w:ind w:left="0" w:firstLine="0"/>
        <w:rPr>
          <w:rFonts w:eastAsia="MS Mincho"/>
          <w:kern w:val="0"/>
          <w:u w:val="single"/>
          <w14:ligatures w14:val="none"/>
        </w:rPr>
      </w:pPr>
      <w:r w:rsidRPr="00C55F2E">
        <w:rPr>
          <w:u w:val="single"/>
        </w:rPr>
        <w:br w:type="page"/>
      </w:r>
    </w:p>
    <w:p w14:paraId="1320C309" w14:textId="77777777" w:rsidR="00E32693" w:rsidRPr="00C55F2E" w:rsidRDefault="00E32693" w:rsidP="00E32693">
      <w:pPr>
        <w:pStyle w:val="Heading1"/>
        <w:rPr>
          <w:rFonts w:ascii="Calibri" w:hAnsi="Calibri" w:cs="Calibri"/>
        </w:rPr>
      </w:pPr>
      <w:bookmarkStart w:id="33" w:name="_Toc225775766"/>
      <w:r w:rsidRPr="00C55F2E">
        <w:rPr>
          <w:rFonts w:ascii="Calibri" w:hAnsi="Calibri" w:cs="Calibri"/>
        </w:rPr>
        <w:lastRenderedPageBreak/>
        <w:t>Appendix 1</w:t>
      </w:r>
      <w:bookmarkEnd w:id="33"/>
    </w:p>
    <w:p w14:paraId="2A41A857" w14:textId="6AE6F713" w:rsidR="00630BD9" w:rsidRPr="00C55F2E" w:rsidRDefault="0068529C" w:rsidP="00D03B12">
      <w:pPr>
        <w:pStyle w:val="Heading2"/>
        <w:spacing w:before="240" w:after="240" w:line="247" w:lineRule="auto"/>
        <w:ind w:left="11" w:hanging="11"/>
        <w:rPr>
          <w:rFonts w:ascii="Calibri" w:hAnsi="Calibri" w:cs="Calibri"/>
        </w:rPr>
      </w:pPr>
      <w:bookmarkStart w:id="34" w:name="_Toc225775767"/>
      <w:r w:rsidRPr="00C55F2E">
        <w:rPr>
          <w:rFonts w:ascii="Calibri" w:hAnsi="Calibri" w:cs="Calibri"/>
        </w:rPr>
        <w:t>Service Standard</w:t>
      </w:r>
      <w:r w:rsidR="003E586D" w:rsidRPr="00C55F2E">
        <w:rPr>
          <w:rFonts w:ascii="Calibri" w:hAnsi="Calibri" w:cs="Calibri"/>
        </w:rPr>
        <w:t xml:space="preserve"> Specification</w:t>
      </w:r>
      <w:bookmarkEnd w:id="34"/>
    </w:p>
    <w:p w14:paraId="1D2212C6" w14:textId="786CBB7D" w:rsidR="006908DC" w:rsidRPr="00C55F2E" w:rsidRDefault="006908DC" w:rsidP="002D6B73">
      <w:pPr>
        <w:spacing w:before="100" w:beforeAutospacing="1" w:after="100" w:afterAutospacing="1" w:line="240" w:lineRule="auto"/>
        <w:ind w:left="0" w:firstLine="0"/>
        <w:jc w:val="both"/>
        <w:rPr>
          <w:rFonts w:eastAsia="Times New Roman"/>
          <w:color w:val="auto"/>
          <w:kern w:val="0"/>
          <w14:ligatures w14:val="none"/>
        </w:rPr>
      </w:pPr>
      <w:r w:rsidRPr="00C55F2E">
        <w:rPr>
          <w:rFonts w:eastAsia="Times New Roman"/>
          <w:color w:val="auto"/>
          <w:kern w:val="0"/>
          <w14:ligatures w14:val="none"/>
        </w:rPr>
        <w:t>This section outlines the specific service standards</w:t>
      </w:r>
      <w:r w:rsidR="00967ECA" w:rsidRPr="00C55F2E">
        <w:rPr>
          <w:rFonts w:eastAsia="Times New Roman"/>
          <w:color w:val="auto"/>
          <w:kern w:val="0"/>
          <w14:ligatures w14:val="none"/>
        </w:rPr>
        <w:t xml:space="preserve"> and the specification</w:t>
      </w:r>
      <w:r w:rsidR="002C7F24" w:rsidRPr="00C55F2E">
        <w:rPr>
          <w:rFonts w:eastAsia="Times New Roman"/>
          <w:color w:val="auto"/>
          <w:kern w:val="0"/>
          <w14:ligatures w14:val="none"/>
        </w:rPr>
        <w:t xml:space="preserve">s used for measuring the standards </w:t>
      </w:r>
      <w:r w:rsidR="001312D7" w:rsidRPr="00C55F2E">
        <w:rPr>
          <w:rFonts w:eastAsia="Times New Roman"/>
          <w:color w:val="auto"/>
          <w:kern w:val="0"/>
          <w14:ligatures w14:val="none"/>
        </w:rPr>
        <w:t xml:space="preserve">outlined in the </w:t>
      </w:r>
      <w:r w:rsidR="00967ECA" w:rsidRPr="00C55F2E">
        <w:rPr>
          <w:rFonts w:eastAsia="Times New Roman"/>
          <w:color w:val="auto"/>
          <w:kern w:val="0"/>
          <w14:ligatures w14:val="none"/>
        </w:rPr>
        <w:t>S</w:t>
      </w:r>
      <w:r w:rsidRPr="00C55F2E">
        <w:rPr>
          <w:rFonts w:eastAsia="Times New Roman"/>
          <w:color w:val="auto"/>
          <w:kern w:val="0"/>
          <w14:ligatures w14:val="none"/>
        </w:rPr>
        <w:t xml:space="preserve">ervice Level Agreement (SLA). Each standard represents a key performance expectation agreed upon between the provider and </w:t>
      </w:r>
      <w:r w:rsidR="002D6B73" w:rsidRPr="00C55F2E">
        <w:rPr>
          <w:rFonts w:eastAsia="Times New Roman"/>
          <w:color w:val="auto"/>
          <w:kern w:val="0"/>
          <w14:ligatures w14:val="none"/>
        </w:rPr>
        <w:t>SLC</w:t>
      </w:r>
      <w:r w:rsidRPr="00C55F2E">
        <w:rPr>
          <w:rFonts w:eastAsia="Times New Roman"/>
          <w:color w:val="auto"/>
          <w:kern w:val="0"/>
          <w14:ligatures w14:val="none"/>
        </w:rPr>
        <w:t>, ensuring consistent delivery, accountability, and continuous improvement.</w:t>
      </w:r>
    </w:p>
    <w:p w14:paraId="3F37007C" w14:textId="77777777" w:rsidR="006908DC" w:rsidRPr="00C55F2E" w:rsidRDefault="006908DC" w:rsidP="002D6B73">
      <w:pPr>
        <w:spacing w:before="100" w:beforeAutospacing="1" w:after="100" w:afterAutospacing="1" w:line="240" w:lineRule="auto"/>
        <w:ind w:left="0" w:firstLine="0"/>
        <w:jc w:val="both"/>
        <w:rPr>
          <w:rFonts w:eastAsia="Times New Roman"/>
          <w:color w:val="auto"/>
          <w:kern w:val="0"/>
          <w14:ligatures w14:val="none"/>
        </w:rPr>
      </w:pPr>
      <w:r w:rsidRPr="00C55F2E">
        <w:rPr>
          <w:rFonts w:eastAsia="Times New Roman"/>
          <w:color w:val="auto"/>
          <w:kern w:val="0"/>
          <w14:ligatures w14:val="none"/>
        </w:rPr>
        <w:t>To maintain transparency and drive performance, each service standard is subject to regular measurement and evaluation. The following metrics are used to assess compliance and effectiveness:</w:t>
      </w:r>
    </w:p>
    <w:p w14:paraId="3C1A649F" w14:textId="77777777" w:rsidR="006908DC" w:rsidRPr="00C55F2E" w:rsidRDefault="006908DC" w:rsidP="00D03B12">
      <w:pPr>
        <w:numPr>
          <w:ilvl w:val="0"/>
          <w:numId w:val="21"/>
        </w:numPr>
        <w:spacing w:before="100" w:beforeAutospacing="1" w:after="100" w:afterAutospacing="1" w:line="240" w:lineRule="auto"/>
        <w:ind w:left="738" w:hanging="454"/>
        <w:rPr>
          <w:rFonts w:eastAsia="Times New Roman"/>
          <w:color w:val="auto"/>
          <w:kern w:val="0"/>
          <w14:ligatures w14:val="none"/>
        </w:rPr>
      </w:pPr>
      <w:r w:rsidRPr="00C55F2E">
        <w:rPr>
          <w:rFonts w:eastAsia="Times New Roman"/>
          <w:b/>
          <w:bCs/>
          <w:color w:val="auto"/>
          <w:kern w:val="0"/>
          <w14:ligatures w14:val="none"/>
        </w:rPr>
        <w:t>Performance Indicators</w:t>
      </w:r>
      <w:r w:rsidRPr="00C55F2E">
        <w:rPr>
          <w:rFonts w:eastAsia="Times New Roman"/>
          <w:color w:val="auto"/>
          <w:kern w:val="0"/>
          <w14:ligatures w14:val="none"/>
        </w:rPr>
        <w:t>: Quantitative measures that reflect the efficiency, quality, and timeliness of service delivery.</w:t>
      </w:r>
    </w:p>
    <w:p w14:paraId="5B92FDDA" w14:textId="77777777" w:rsidR="006908DC" w:rsidRPr="00C55F2E" w:rsidRDefault="006908DC" w:rsidP="00D03B12">
      <w:pPr>
        <w:numPr>
          <w:ilvl w:val="0"/>
          <w:numId w:val="21"/>
        </w:numPr>
        <w:spacing w:before="100" w:beforeAutospacing="1" w:after="100" w:afterAutospacing="1" w:line="240" w:lineRule="auto"/>
        <w:ind w:left="738" w:hanging="454"/>
        <w:rPr>
          <w:rFonts w:eastAsia="Times New Roman"/>
          <w:color w:val="auto"/>
          <w:kern w:val="0"/>
          <w14:ligatures w14:val="none"/>
        </w:rPr>
      </w:pPr>
      <w:r w:rsidRPr="00C55F2E">
        <w:rPr>
          <w:rFonts w:eastAsia="Times New Roman"/>
          <w:b/>
          <w:bCs/>
          <w:color w:val="auto"/>
          <w:kern w:val="0"/>
          <w14:ligatures w14:val="none"/>
        </w:rPr>
        <w:t>Monitoring Frequency</w:t>
      </w:r>
      <w:r w:rsidRPr="00C55F2E">
        <w:rPr>
          <w:rFonts w:eastAsia="Times New Roman"/>
          <w:color w:val="auto"/>
          <w:kern w:val="0"/>
          <w14:ligatures w14:val="none"/>
        </w:rPr>
        <w:t>: The intervals at which data is collected and reviewed to ensure ongoing adherence to standards.</w:t>
      </w:r>
    </w:p>
    <w:p w14:paraId="31218916" w14:textId="77777777" w:rsidR="006908DC" w:rsidRPr="00C55F2E" w:rsidRDefault="006908DC" w:rsidP="00D03B12">
      <w:pPr>
        <w:numPr>
          <w:ilvl w:val="0"/>
          <w:numId w:val="21"/>
        </w:numPr>
        <w:spacing w:before="100" w:beforeAutospacing="1" w:after="100" w:afterAutospacing="1" w:line="240" w:lineRule="auto"/>
        <w:ind w:left="738" w:hanging="454"/>
        <w:rPr>
          <w:rFonts w:eastAsia="Times New Roman"/>
          <w:color w:val="auto"/>
          <w:kern w:val="0"/>
          <w14:ligatures w14:val="none"/>
        </w:rPr>
      </w:pPr>
      <w:r w:rsidRPr="00C55F2E">
        <w:rPr>
          <w:rFonts w:eastAsia="Times New Roman"/>
          <w:b/>
          <w:bCs/>
          <w:color w:val="auto"/>
          <w:kern w:val="0"/>
          <w14:ligatures w14:val="none"/>
        </w:rPr>
        <w:t>Reporting Mechanisms</w:t>
      </w:r>
      <w:r w:rsidRPr="00C55F2E">
        <w:rPr>
          <w:rFonts w:eastAsia="Times New Roman"/>
          <w:color w:val="auto"/>
          <w:kern w:val="0"/>
          <w14:ligatures w14:val="none"/>
        </w:rPr>
        <w:t>: Tools and processes used to communicate performance outcomes to stakeholders.</w:t>
      </w:r>
    </w:p>
    <w:p w14:paraId="6E94D241" w14:textId="77777777" w:rsidR="006908DC" w:rsidRPr="00C55F2E" w:rsidRDefault="006908DC" w:rsidP="00D03B12">
      <w:pPr>
        <w:numPr>
          <w:ilvl w:val="0"/>
          <w:numId w:val="21"/>
        </w:numPr>
        <w:spacing w:before="100" w:beforeAutospacing="1" w:after="100" w:afterAutospacing="1" w:line="240" w:lineRule="auto"/>
        <w:ind w:left="738" w:hanging="454"/>
        <w:rPr>
          <w:rFonts w:eastAsia="Times New Roman"/>
          <w:color w:val="auto"/>
          <w:kern w:val="0"/>
          <w14:ligatures w14:val="none"/>
        </w:rPr>
      </w:pPr>
      <w:r w:rsidRPr="00C55F2E">
        <w:rPr>
          <w:rFonts w:eastAsia="Times New Roman"/>
          <w:b/>
          <w:bCs/>
          <w:color w:val="auto"/>
          <w:kern w:val="0"/>
          <w14:ligatures w14:val="none"/>
        </w:rPr>
        <w:t>Thresholds and Targets</w:t>
      </w:r>
      <w:r w:rsidRPr="00C55F2E">
        <w:rPr>
          <w:rFonts w:eastAsia="Times New Roman"/>
          <w:color w:val="auto"/>
          <w:kern w:val="0"/>
          <w14:ligatures w14:val="none"/>
        </w:rPr>
        <w:t>: Defined benchmarks that indicate acceptable levels of service and trigger corrective actions if unmet.</w:t>
      </w:r>
    </w:p>
    <w:p w14:paraId="5E52E978" w14:textId="1A7B2DA6" w:rsidR="006908DC" w:rsidRPr="00C55F2E" w:rsidRDefault="006908DC" w:rsidP="00D03B12">
      <w:pPr>
        <w:numPr>
          <w:ilvl w:val="0"/>
          <w:numId w:val="21"/>
        </w:numPr>
        <w:spacing w:before="100" w:beforeAutospacing="1" w:after="100" w:afterAutospacing="1" w:line="240" w:lineRule="auto"/>
        <w:ind w:left="738" w:hanging="454"/>
        <w:rPr>
          <w:rFonts w:eastAsia="Times New Roman"/>
          <w:color w:val="auto"/>
          <w:kern w:val="0"/>
          <w14:ligatures w14:val="none"/>
        </w:rPr>
      </w:pPr>
      <w:r w:rsidRPr="00C55F2E">
        <w:rPr>
          <w:rFonts w:eastAsia="Times New Roman"/>
          <w:b/>
          <w:bCs/>
          <w:color w:val="auto"/>
          <w:kern w:val="0"/>
          <w14:ligatures w14:val="none"/>
        </w:rPr>
        <w:t>Review and Improvement Process</w:t>
      </w:r>
      <w:r w:rsidRPr="00C55F2E">
        <w:rPr>
          <w:rFonts w:eastAsia="Times New Roman"/>
          <w:color w:val="auto"/>
          <w:kern w:val="0"/>
          <w14:ligatures w14:val="none"/>
        </w:rPr>
        <w:t>: A structured approach for analy</w:t>
      </w:r>
      <w:r w:rsidR="002D6B73" w:rsidRPr="00C55F2E">
        <w:rPr>
          <w:rFonts w:eastAsia="Times New Roman"/>
          <w:color w:val="auto"/>
          <w:kern w:val="0"/>
          <w14:ligatures w14:val="none"/>
        </w:rPr>
        <w:t>s</w:t>
      </w:r>
      <w:r w:rsidRPr="00C55F2E">
        <w:rPr>
          <w:rFonts w:eastAsia="Times New Roman"/>
          <w:color w:val="auto"/>
          <w:kern w:val="0"/>
          <w14:ligatures w14:val="none"/>
        </w:rPr>
        <w:t>ing results, identifying gaps, and implementing enhancements.</w:t>
      </w:r>
    </w:p>
    <w:p w14:paraId="2DD38320" w14:textId="77777777" w:rsidR="006908DC" w:rsidRPr="00C55F2E" w:rsidRDefault="006908DC" w:rsidP="002D6B73">
      <w:pPr>
        <w:spacing w:before="100" w:beforeAutospacing="1" w:after="100" w:afterAutospacing="1" w:line="240" w:lineRule="auto"/>
        <w:ind w:left="0" w:firstLine="0"/>
        <w:jc w:val="both"/>
        <w:rPr>
          <w:rFonts w:eastAsia="Times New Roman"/>
          <w:color w:val="auto"/>
          <w:kern w:val="0"/>
          <w14:ligatures w14:val="none"/>
        </w:rPr>
      </w:pPr>
      <w:r w:rsidRPr="00C55F2E">
        <w:rPr>
          <w:rFonts w:eastAsia="Times New Roman"/>
          <w:color w:val="auto"/>
          <w:kern w:val="0"/>
          <w14:ligatures w14:val="none"/>
        </w:rPr>
        <w:t>By clearly defining and regularly assessing these standards, the SLA promotes a shared understanding of service expectations and fosters a culture of excellence and responsiveness.</w:t>
      </w:r>
    </w:p>
    <w:p w14:paraId="757F8BEB" w14:textId="4784EB42" w:rsidR="00B72900" w:rsidRPr="00C55F2E" w:rsidRDefault="00EE44CB" w:rsidP="00F00EB1">
      <w:pPr>
        <w:pStyle w:val="Heading3"/>
        <w:rPr>
          <w:rFonts w:eastAsia="Times New Roman" w:cs="Calibri"/>
        </w:rPr>
      </w:pPr>
      <w:r w:rsidRPr="00C55F2E">
        <w:rPr>
          <w:rFonts w:eastAsia="Times New Roman" w:cs="Calibri"/>
        </w:rPr>
        <w:t xml:space="preserve">Service standards and </w:t>
      </w:r>
      <w:r w:rsidR="00B72900" w:rsidRPr="00C55F2E">
        <w:rPr>
          <w:rFonts w:eastAsia="Times New Roman" w:cs="Calibri"/>
        </w:rPr>
        <w:t>specification</w:t>
      </w:r>
      <w:r w:rsidR="000A28EA" w:rsidRPr="00C55F2E">
        <w:rPr>
          <w:rFonts w:eastAsia="Times New Roman" w:cs="Calibri"/>
        </w:rPr>
        <w:t xml:space="preserve"> </w:t>
      </w:r>
    </w:p>
    <w:p w14:paraId="36AA3D94" w14:textId="4D8EAC94" w:rsidR="004C342E" w:rsidRPr="00C55F2E" w:rsidRDefault="00BD1AD2" w:rsidP="003C4D77">
      <w:pPr>
        <w:pStyle w:val="Heading3"/>
        <w:spacing w:before="240" w:after="240" w:line="247" w:lineRule="auto"/>
        <w:ind w:left="11" w:hanging="11"/>
        <w:rPr>
          <w:rFonts w:eastAsia="Times New Roman" w:cs="Calibri"/>
        </w:rPr>
      </w:pPr>
      <w:r w:rsidRPr="00C55F2E">
        <w:rPr>
          <w:rFonts w:eastAsia="Times New Roman" w:cs="Calibri"/>
        </w:rPr>
        <w:t>Registration</w:t>
      </w:r>
    </w:p>
    <w:p w14:paraId="48A47D5B" w14:textId="05DB0D3A" w:rsidR="004E6669" w:rsidRPr="00C55F2E" w:rsidRDefault="004E6669" w:rsidP="00AC0E5B">
      <w:pPr>
        <w:spacing w:after="120" w:line="240" w:lineRule="auto"/>
        <w:ind w:left="0" w:firstLine="0"/>
        <w:jc w:val="both"/>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Confirmation of </w:t>
      </w:r>
      <w:r w:rsidR="008A4BB7" w:rsidRPr="00C55F2E">
        <w:rPr>
          <w:rFonts w:eastAsia="Times New Roman"/>
          <w:color w:val="auto"/>
          <w:kern w:val="0"/>
          <w:sz w:val="22"/>
          <w:szCs w:val="22"/>
          <w14:ligatures w14:val="none"/>
        </w:rPr>
        <w:t xml:space="preserve">enrolment in </w:t>
      </w:r>
      <w:r w:rsidRPr="00C55F2E">
        <w:rPr>
          <w:rFonts w:eastAsia="Times New Roman"/>
          <w:color w:val="auto"/>
          <w:kern w:val="0"/>
          <w:sz w:val="22"/>
          <w:szCs w:val="22"/>
          <w14:ligatures w14:val="none"/>
        </w:rPr>
        <w:t>study</w:t>
      </w:r>
    </w:p>
    <w:p w14:paraId="66F187BB" w14:textId="77777777" w:rsidR="00E011E1" w:rsidRPr="00C55F2E" w:rsidRDefault="008552BC"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Providers will be evaluated on the number of student registration confirmations received compared to the expected number for courses that have commenced, within the prescribed timeliness, as of the report creation date. The two timeliness performance indicators are:</w:t>
      </w:r>
    </w:p>
    <w:p w14:paraId="4AC7D6D3" w14:textId="3E4B7AEC" w:rsidR="003528EA" w:rsidRPr="00514696" w:rsidRDefault="003528EA" w:rsidP="00E011E1">
      <w:pPr>
        <w:pStyle w:val="ListParagraph"/>
        <w:numPr>
          <w:ilvl w:val="1"/>
          <w:numId w:val="27"/>
        </w:numPr>
        <w:spacing w:after="0" w:line="240" w:lineRule="auto"/>
        <w:jc w:val="both"/>
        <w:rPr>
          <w:rFonts w:eastAsia="Times New Roman"/>
          <w:b/>
          <w:bCs/>
          <w:color w:val="auto"/>
          <w:kern w:val="0"/>
          <w:sz w:val="22"/>
          <w:szCs w:val="22"/>
          <w14:ligatures w14:val="none"/>
        </w:rPr>
      </w:pPr>
      <w:r w:rsidRPr="00514696">
        <w:rPr>
          <w:b/>
          <w:bCs/>
          <w:sz w:val="20"/>
          <w:szCs w:val="20"/>
        </w:rPr>
        <w:t>82% of registrations within 5 days of module / course start date</w:t>
      </w:r>
      <w:r w:rsidR="008206C2" w:rsidRPr="00514696">
        <w:rPr>
          <w:b/>
          <w:bCs/>
          <w:sz w:val="20"/>
          <w:szCs w:val="20"/>
        </w:rPr>
        <w:t>.</w:t>
      </w:r>
    </w:p>
    <w:p w14:paraId="32FB7CE2" w14:textId="30EDCE6D" w:rsidR="00F339C1" w:rsidRPr="00C55F2E" w:rsidRDefault="003528EA" w:rsidP="005C51CE">
      <w:pPr>
        <w:pStyle w:val="ListParagraph"/>
        <w:numPr>
          <w:ilvl w:val="1"/>
          <w:numId w:val="27"/>
        </w:numPr>
        <w:spacing w:after="120" w:line="259" w:lineRule="auto"/>
        <w:ind w:left="1434" w:right="62" w:hanging="357"/>
        <w:rPr>
          <w:b/>
          <w:bCs/>
          <w:sz w:val="20"/>
          <w:szCs w:val="20"/>
        </w:rPr>
      </w:pPr>
      <w:r w:rsidRPr="00C55F2E">
        <w:rPr>
          <w:b/>
          <w:bCs/>
          <w:sz w:val="20"/>
          <w:szCs w:val="20"/>
        </w:rPr>
        <w:t>95% of registrations within 30 days of module / course start date.</w:t>
      </w:r>
      <w:r w:rsidR="00F339C1" w:rsidRPr="00C55F2E">
        <w:rPr>
          <w:b/>
          <w:bCs/>
          <w:sz w:val="20"/>
          <w:szCs w:val="20"/>
        </w:rPr>
        <w:tab/>
      </w:r>
    </w:p>
    <w:p w14:paraId="4080C829" w14:textId="232C76E0" w:rsidR="005C51CE" w:rsidRPr="00C55F2E" w:rsidRDefault="005C51CE" w:rsidP="00E63957">
      <w:pPr>
        <w:spacing w:after="120" w:line="240" w:lineRule="auto"/>
        <w:ind w:left="0" w:firstLine="0"/>
        <w:jc w:val="both"/>
        <w:rPr>
          <w:rFonts w:eastAsia="Times New Roman"/>
          <w:color w:val="auto"/>
          <w:kern w:val="0"/>
          <w:sz w:val="22"/>
          <w:szCs w:val="22"/>
          <w14:ligatures w14:val="none"/>
        </w:rPr>
      </w:pPr>
      <w:r w:rsidRPr="00C55F2E">
        <w:rPr>
          <w:rFonts w:eastAsia="Times New Roman"/>
          <w:color w:val="auto"/>
          <w:kern w:val="0"/>
          <w:sz w:val="22"/>
          <w:szCs w:val="22"/>
          <w14:ligatures w14:val="none"/>
        </w:rPr>
        <w:t>Accuracy of submissions</w:t>
      </w:r>
    </w:p>
    <w:p w14:paraId="1EA3D28A" w14:textId="77777777" w:rsidR="008677CD" w:rsidRPr="00C55F2E" w:rsidRDefault="00521AE9" w:rsidP="008206C2">
      <w:pPr>
        <w:pStyle w:val="ListParagraph"/>
        <w:numPr>
          <w:ilvl w:val="0"/>
          <w:numId w:val="27"/>
        </w:numPr>
        <w:spacing w:line="247" w:lineRule="auto"/>
        <w:ind w:left="738" w:hanging="454"/>
        <w:rPr>
          <w:rFonts w:eastAsia="Times New Roman"/>
          <w:color w:val="auto"/>
          <w:kern w:val="0"/>
          <w:sz w:val="22"/>
          <w:szCs w:val="22"/>
          <w14:ligatures w14:val="none"/>
        </w:rPr>
      </w:pPr>
      <w:r w:rsidRPr="00C55F2E">
        <w:rPr>
          <w:rFonts w:eastAsia="Times New Roman"/>
          <w:color w:val="auto"/>
          <w:kern w:val="0"/>
          <w:sz w:val="22"/>
          <w:szCs w:val="22"/>
          <w14:ligatures w14:val="none"/>
        </w:rPr>
        <w:t>A registration confirmation is classified as an error when:</w:t>
      </w:r>
    </w:p>
    <w:p w14:paraId="0F0597A5" w14:textId="77777777" w:rsidR="008677CD" w:rsidRPr="00C55F2E" w:rsidRDefault="00521AE9" w:rsidP="008677CD">
      <w:pPr>
        <w:pStyle w:val="ListParagraph"/>
        <w:numPr>
          <w:ilvl w:val="1"/>
          <w:numId w:val="27"/>
        </w:numPr>
        <w:spacing w:after="0" w:line="240" w:lineRule="auto"/>
        <w:rPr>
          <w:rFonts w:eastAsia="Times New Roman"/>
          <w:color w:val="auto"/>
          <w:kern w:val="0"/>
          <w:sz w:val="22"/>
          <w:szCs w:val="22"/>
          <w14:ligatures w14:val="none"/>
        </w:rPr>
      </w:pPr>
      <w:r w:rsidRPr="00C55F2E">
        <w:rPr>
          <w:rFonts w:eastAsia="Times New Roman"/>
          <w:color w:val="auto"/>
          <w:kern w:val="0"/>
          <w:sz w:val="22"/>
          <w:szCs w:val="22"/>
          <w14:ligatures w14:val="none"/>
        </w:rPr>
        <w:t>The effective date of a follow-up withdrawal or change-of-circumstance notification is the same as or earlier than the registration confirmation date; or</w:t>
      </w:r>
    </w:p>
    <w:p w14:paraId="542C947E" w14:textId="149ACABB" w:rsidR="00BD3168" w:rsidRPr="00C55F2E" w:rsidRDefault="00521AE9" w:rsidP="00484DAF">
      <w:pPr>
        <w:pStyle w:val="ListParagraph"/>
        <w:numPr>
          <w:ilvl w:val="1"/>
          <w:numId w:val="27"/>
        </w:numPr>
        <w:spacing w:after="120" w:line="240" w:lineRule="auto"/>
        <w:ind w:left="1434" w:hanging="357"/>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The effective date is the same as or earlier than the course </w:t>
      </w:r>
      <w:proofErr w:type="gramStart"/>
      <w:r w:rsidRPr="00C55F2E">
        <w:rPr>
          <w:rFonts w:eastAsia="Times New Roman"/>
          <w:color w:val="auto"/>
          <w:kern w:val="0"/>
          <w:sz w:val="22"/>
          <w:szCs w:val="22"/>
          <w14:ligatures w14:val="none"/>
        </w:rPr>
        <w:t>start</w:t>
      </w:r>
      <w:proofErr w:type="gramEnd"/>
      <w:r w:rsidRPr="00C55F2E">
        <w:rPr>
          <w:rFonts w:eastAsia="Times New Roman"/>
          <w:color w:val="auto"/>
          <w:kern w:val="0"/>
          <w:sz w:val="22"/>
          <w:szCs w:val="22"/>
          <w14:ligatures w14:val="none"/>
        </w:rPr>
        <w:t xml:space="preserve"> date.</w:t>
      </w:r>
    </w:p>
    <w:p w14:paraId="21FCF2FC" w14:textId="77777777" w:rsidR="00372DCE" w:rsidRPr="00C55F2E" w:rsidRDefault="00521AE9" w:rsidP="008206C2">
      <w:pPr>
        <w:pStyle w:val="ListParagraph"/>
        <w:numPr>
          <w:ilvl w:val="0"/>
          <w:numId w:val="27"/>
        </w:numPr>
        <w:spacing w:before="100" w:beforeAutospacing="1" w:after="100" w:afterAutospacing="1" w:line="240" w:lineRule="auto"/>
        <w:ind w:left="738" w:hanging="454"/>
        <w:rPr>
          <w:rFonts w:eastAsia="Times New Roman"/>
          <w:color w:val="auto"/>
          <w:kern w:val="0"/>
          <w:sz w:val="22"/>
          <w:szCs w:val="22"/>
          <w14:ligatures w14:val="none"/>
        </w:rPr>
      </w:pPr>
      <w:r w:rsidRPr="00C55F2E">
        <w:rPr>
          <w:rFonts w:eastAsia="Times New Roman"/>
          <w:color w:val="auto"/>
          <w:kern w:val="0"/>
          <w:sz w:val="22"/>
          <w:szCs w:val="22"/>
          <w14:ligatures w14:val="none"/>
        </w:rPr>
        <w:t>Such errors may result in the first instalment of maintenance support—issued upon receipt of the registration—becoming an overpayment that the student must repay.</w:t>
      </w:r>
    </w:p>
    <w:p w14:paraId="6039B56B" w14:textId="79839EB3" w:rsidR="00521AE9" w:rsidRPr="00C55F2E" w:rsidRDefault="00521AE9" w:rsidP="008206C2">
      <w:pPr>
        <w:pStyle w:val="ListParagraph"/>
        <w:numPr>
          <w:ilvl w:val="0"/>
          <w:numId w:val="27"/>
        </w:numPr>
        <w:spacing w:before="100" w:beforeAutospacing="1" w:after="100" w:afterAutospacing="1" w:line="240" w:lineRule="auto"/>
        <w:ind w:left="738" w:hanging="454"/>
        <w:rPr>
          <w:rFonts w:eastAsia="Times New Roman"/>
          <w:color w:val="auto"/>
          <w:kern w:val="0"/>
          <w:sz w:val="22"/>
          <w:szCs w:val="22"/>
          <w14:ligatures w14:val="none"/>
        </w:rPr>
      </w:pPr>
      <w:r w:rsidRPr="00C55F2E">
        <w:rPr>
          <w:rFonts w:eastAsia="Times New Roman"/>
          <w:color w:val="auto"/>
          <w:kern w:val="0"/>
          <w:sz w:val="22"/>
          <w:szCs w:val="22"/>
          <w14:ligatures w14:val="none"/>
        </w:rPr>
        <w:lastRenderedPageBreak/>
        <w:t>The accuracy performance indicator is calculated as the number of errors identified divided by the total number of registration confirmations received at the time of report creation.</w:t>
      </w:r>
      <w:r w:rsidR="00A64CB4" w:rsidRPr="00C55F2E">
        <w:rPr>
          <w:rFonts w:eastAsia="Times New Roman"/>
          <w:color w:val="auto"/>
          <w:kern w:val="0"/>
          <w:sz w:val="22"/>
          <w:szCs w:val="22"/>
          <w14:ligatures w14:val="none"/>
        </w:rPr>
        <w:t xml:space="preserve"> The performance indicator </w:t>
      </w:r>
      <w:r w:rsidR="00785E5D" w:rsidRPr="00C55F2E">
        <w:rPr>
          <w:rFonts w:eastAsia="Times New Roman"/>
          <w:color w:val="auto"/>
          <w:kern w:val="0"/>
          <w:sz w:val="22"/>
          <w:szCs w:val="22"/>
          <w14:ligatures w14:val="none"/>
        </w:rPr>
        <w:t>is:</w:t>
      </w:r>
    </w:p>
    <w:p w14:paraId="573E4538" w14:textId="78E176CA" w:rsidR="00785E5D" w:rsidRPr="00C55F2E" w:rsidRDefault="00126E0E" w:rsidP="008206C2">
      <w:pPr>
        <w:pStyle w:val="ListParagraph"/>
        <w:numPr>
          <w:ilvl w:val="1"/>
          <w:numId w:val="27"/>
        </w:numPr>
        <w:spacing w:before="100" w:beforeAutospacing="1" w:after="100" w:afterAutospacing="1" w:line="240" w:lineRule="auto"/>
        <w:rPr>
          <w:rFonts w:eastAsia="Times New Roman"/>
          <w:b/>
          <w:bCs/>
          <w:color w:val="auto"/>
          <w:kern w:val="0"/>
          <w:sz w:val="20"/>
          <w:szCs w:val="20"/>
          <w14:ligatures w14:val="none"/>
        </w:rPr>
      </w:pPr>
      <w:r w:rsidRPr="00C55F2E">
        <w:rPr>
          <w:rFonts w:eastAsia="Times New Roman"/>
          <w:b/>
          <w:bCs/>
          <w:color w:val="auto"/>
          <w:kern w:val="0"/>
          <w:sz w:val="20"/>
          <w:szCs w:val="20"/>
          <w14:ligatures w14:val="none"/>
        </w:rPr>
        <w:t xml:space="preserve">99% of submissions </w:t>
      </w:r>
      <w:r w:rsidR="00B012AE" w:rsidRPr="00C55F2E">
        <w:rPr>
          <w:rFonts w:eastAsia="Times New Roman"/>
          <w:b/>
          <w:bCs/>
          <w:color w:val="auto"/>
          <w:kern w:val="0"/>
          <w:sz w:val="20"/>
          <w:szCs w:val="20"/>
          <w14:ligatures w14:val="none"/>
        </w:rPr>
        <w:t>should be accurate, that is, the error rate should be 1% or less.</w:t>
      </w:r>
    </w:p>
    <w:p w14:paraId="2DD7A784" w14:textId="6EAB49F7" w:rsidR="0018314B" w:rsidRPr="00C55F2E" w:rsidRDefault="00B36842" w:rsidP="00E63957">
      <w:pPr>
        <w:spacing w:after="120" w:line="240" w:lineRule="auto"/>
        <w:ind w:left="0" w:firstLine="0"/>
        <w:jc w:val="both"/>
        <w:rPr>
          <w:rFonts w:eastAsia="Times New Roman"/>
          <w:color w:val="auto"/>
          <w:kern w:val="0"/>
          <w:sz w:val="22"/>
          <w:szCs w:val="22"/>
          <w14:ligatures w14:val="none"/>
        </w:rPr>
      </w:pPr>
      <w:r w:rsidRPr="00C55F2E">
        <w:rPr>
          <w:rFonts w:eastAsia="Times New Roman"/>
          <w:color w:val="auto"/>
          <w:kern w:val="0"/>
          <w:sz w:val="22"/>
          <w:szCs w:val="22"/>
          <w14:ligatures w14:val="none"/>
        </w:rPr>
        <w:t>Manual Confirmation of start of study</w:t>
      </w:r>
    </w:p>
    <w:p w14:paraId="42AEDDCE" w14:textId="77777777" w:rsidR="00EE1545" w:rsidRPr="00C55F2E" w:rsidRDefault="00CD664A"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Providers </w:t>
      </w:r>
      <w:r w:rsidR="009C02A3" w:rsidRPr="00C55F2E">
        <w:rPr>
          <w:rFonts w:eastAsia="Times New Roman"/>
          <w:color w:val="auto"/>
          <w:kern w:val="0"/>
          <w:sz w:val="22"/>
          <w:szCs w:val="22"/>
          <w14:ligatures w14:val="none"/>
        </w:rPr>
        <w:t xml:space="preserve">may be required to </w:t>
      </w:r>
      <w:r w:rsidRPr="00C55F2E">
        <w:rPr>
          <w:rFonts w:eastAsia="Times New Roman"/>
          <w:color w:val="auto"/>
          <w:kern w:val="0"/>
          <w:sz w:val="22"/>
          <w:szCs w:val="22"/>
          <w14:ligatures w14:val="none"/>
        </w:rPr>
        <w:t xml:space="preserve">register a student who has not yet appeared on the registration worklist. </w:t>
      </w:r>
      <w:r w:rsidR="009C02A3" w:rsidRPr="00C55F2E">
        <w:rPr>
          <w:rFonts w:eastAsia="Times New Roman"/>
          <w:color w:val="auto"/>
          <w:kern w:val="0"/>
          <w:sz w:val="22"/>
          <w:szCs w:val="22"/>
          <w14:ligatures w14:val="none"/>
        </w:rPr>
        <w:t xml:space="preserve">This can occur when a student applies late or </w:t>
      </w:r>
      <w:r w:rsidR="00B64B74" w:rsidRPr="00C55F2E">
        <w:rPr>
          <w:rFonts w:eastAsia="Times New Roman"/>
          <w:color w:val="auto"/>
          <w:kern w:val="0"/>
          <w:sz w:val="22"/>
          <w:szCs w:val="22"/>
          <w14:ligatures w14:val="none"/>
        </w:rPr>
        <w:t>when they transfer from another provider.</w:t>
      </w:r>
      <w:r w:rsidR="00E63957" w:rsidRPr="00C55F2E">
        <w:rPr>
          <w:rFonts w:eastAsia="Times New Roman"/>
          <w:color w:val="auto"/>
          <w:kern w:val="0"/>
          <w:sz w:val="22"/>
          <w:szCs w:val="22"/>
          <w14:ligatures w14:val="none"/>
        </w:rPr>
        <w:t xml:space="preserve"> </w:t>
      </w:r>
      <w:r w:rsidR="00C41593" w:rsidRPr="00C55F2E">
        <w:rPr>
          <w:rFonts w:eastAsia="Times New Roman"/>
          <w:color w:val="auto"/>
          <w:kern w:val="0"/>
          <w:sz w:val="22"/>
          <w:szCs w:val="22"/>
          <w14:ligatures w14:val="none"/>
        </w:rPr>
        <w:t xml:space="preserve">The performance indicator </w:t>
      </w:r>
      <w:r w:rsidR="00543A62" w:rsidRPr="00C55F2E">
        <w:rPr>
          <w:rFonts w:eastAsia="Times New Roman"/>
          <w:color w:val="auto"/>
          <w:kern w:val="0"/>
          <w:sz w:val="22"/>
          <w:szCs w:val="22"/>
          <w14:ligatures w14:val="none"/>
        </w:rPr>
        <w:t>is:</w:t>
      </w:r>
    </w:p>
    <w:p w14:paraId="09448E88" w14:textId="570DACE6" w:rsidR="00EE1545" w:rsidRPr="00C55F2E" w:rsidRDefault="00EE1545" w:rsidP="00EE1545">
      <w:pPr>
        <w:pStyle w:val="ListParagraph"/>
        <w:numPr>
          <w:ilvl w:val="1"/>
          <w:numId w:val="27"/>
        </w:numPr>
        <w:spacing w:after="0" w:line="240" w:lineRule="auto"/>
        <w:jc w:val="both"/>
        <w:rPr>
          <w:rFonts w:eastAsia="Times New Roman"/>
          <w:b/>
          <w:bCs/>
          <w:color w:val="auto"/>
          <w:kern w:val="0"/>
          <w:sz w:val="22"/>
          <w:szCs w:val="22"/>
          <w14:ligatures w14:val="none"/>
        </w:rPr>
      </w:pPr>
      <w:r w:rsidRPr="00C55F2E">
        <w:rPr>
          <w:rFonts w:eastAsia="Times New Roman"/>
          <w:b/>
          <w:bCs/>
          <w:color w:val="auto"/>
          <w:kern w:val="0"/>
          <w:sz w:val="20"/>
          <w:szCs w:val="20"/>
          <w14:ligatures w14:val="none"/>
        </w:rPr>
        <w:t>95% of Manual registrations to be completed by course start date or application approved date, whichever is the later.</w:t>
      </w:r>
    </w:p>
    <w:p w14:paraId="55DF2722" w14:textId="197A70C2" w:rsidR="00892338" w:rsidRPr="00C55F2E" w:rsidRDefault="00892338" w:rsidP="008206C2">
      <w:pPr>
        <w:pStyle w:val="Heading3"/>
        <w:spacing w:before="240" w:after="240"/>
        <w:rPr>
          <w:rFonts w:eastAsia="Times New Roman" w:cs="Calibri"/>
        </w:rPr>
      </w:pPr>
      <w:r w:rsidRPr="00C55F2E">
        <w:rPr>
          <w:rFonts w:eastAsia="Times New Roman" w:cs="Calibri"/>
        </w:rPr>
        <w:t>Attendance</w:t>
      </w:r>
    </w:p>
    <w:p w14:paraId="22E3FC67" w14:textId="7C68817E" w:rsidR="00892338" w:rsidRPr="00C55F2E" w:rsidRDefault="00892338" w:rsidP="002D02A8">
      <w:pPr>
        <w:spacing w:after="120" w:line="240" w:lineRule="auto"/>
        <w:ind w:left="0" w:firstLine="0"/>
        <w:jc w:val="both"/>
        <w:rPr>
          <w:rFonts w:eastAsia="Times New Roman"/>
          <w:color w:val="auto"/>
          <w:kern w:val="0"/>
          <w:sz w:val="22"/>
          <w:szCs w:val="22"/>
          <w14:ligatures w14:val="none"/>
        </w:rPr>
      </w:pPr>
      <w:r w:rsidRPr="00C55F2E">
        <w:rPr>
          <w:rFonts w:eastAsia="Times New Roman"/>
          <w:color w:val="auto"/>
          <w:kern w:val="0"/>
          <w:sz w:val="22"/>
          <w:szCs w:val="22"/>
          <w14:ligatures w14:val="none"/>
        </w:rPr>
        <w:t>Confirmation of engagement</w:t>
      </w:r>
      <w:r w:rsidR="001908BF" w:rsidRPr="00C55F2E">
        <w:rPr>
          <w:rFonts w:eastAsia="Times New Roman"/>
          <w:color w:val="auto"/>
          <w:kern w:val="0"/>
          <w:sz w:val="22"/>
          <w:szCs w:val="22"/>
          <w14:ligatures w14:val="none"/>
        </w:rPr>
        <w:t xml:space="preserve"> in </w:t>
      </w:r>
      <w:r w:rsidRPr="00C55F2E">
        <w:rPr>
          <w:rFonts w:eastAsia="Times New Roman"/>
          <w:color w:val="auto"/>
          <w:kern w:val="0"/>
          <w:sz w:val="22"/>
          <w:szCs w:val="22"/>
          <w14:ligatures w14:val="none"/>
        </w:rPr>
        <w:t>study</w:t>
      </w:r>
    </w:p>
    <w:p w14:paraId="39C77E0C" w14:textId="77777777" w:rsidR="00151183" w:rsidRPr="00C55F2E" w:rsidRDefault="00F5158A"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Providers will be evaluated on the number of student </w:t>
      </w:r>
      <w:r w:rsidR="007D375E" w:rsidRPr="00C55F2E">
        <w:rPr>
          <w:rFonts w:eastAsia="Times New Roman"/>
          <w:color w:val="auto"/>
          <w:kern w:val="0"/>
          <w:sz w:val="22"/>
          <w:szCs w:val="22"/>
          <w14:ligatures w14:val="none"/>
        </w:rPr>
        <w:t>attendance</w:t>
      </w:r>
      <w:r w:rsidRPr="00C55F2E">
        <w:rPr>
          <w:rFonts w:eastAsia="Times New Roman"/>
          <w:color w:val="auto"/>
          <w:kern w:val="0"/>
          <w:sz w:val="22"/>
          <w:szCs w:val="22"/>
          <w14:ligatures w14:val="none"/>
        </w:rPr>
        <w:t xml:space="preserve"> confirmations received compared to the expected number for courses that have commenced, within the prescribed timeliness, as of the report creation date. </w:t>
      </w:r>
    </w:p>
    <w:p w14:paraId="04526140" w14:textId="21D88DDB" w:rsidR="00F5158A" w:rsidRPr="00B12D43" w:rsidRDefault="00F5158A"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B12D43">
        <w:rPr>
          <w:rFonts w:eastAsia="Times New Roman"/>
          <w:color w:val="auto"/>
          <w:kern w:val="0"/>
          <w:sz w:val="22"/>
          <w:szCs w:val="22"/>
          <w14:ligatures w14:val="none"/>
        </w:rPr>
        <w:t xml:space="preserve">The timeliness performance indicators </w:t>
      </w:r>
      <w:r w:rsidR="00151183" w:rsidRPr="00B12D43">
        <w:rPr>
          <w:rFonts w:eastAsia="Times New Roman"/>
          <w:color w:val="auto"/>
          <w:kern w:val="0"/>
          <w:sz w:val="22"/>
          <w:szCs w:val="22"/>
          <w14:ligatures w14:val="none"/>
        </w:rPr>
        <w:t xml:space="preserve">for </w:t>
      </w:r>
      <w:r w:rsidR="004143B0" w:rsidRPr="00B12D43">
        <w:rPr>
          <w:rFonts w:eastAsia="Times New Roman"/>
          <w:color w:val="auto"/>
          <w:kern w:val="0"/>
          <w:sz w:val="22"/>
          <w:szCs w:val="22"/>
          <w14:ligatures w14:val="none"/>
        </w:rPr>
        <w:t xml:space="preserve">the initial tuition fee instalment </w:t>
      </w:r>
      <w:r w:rsidRPr="00B12D43">
        <w:rPr>
          <w:rFonts w:eastAsia="Times New Roman"/>
          <w:color w:val="auto"/>
          <w:kern w:val="0"/>
          <w:sz w:val="22"/>
          <w:szCs w:val="22"/>
          <w14:ligatures w14:val="none"/>
        </w:rPr>
        <w:t>are:</w:t>
      </w:r>
    </w:p>
    <w:p w14:paraId="6769919D" w14:textId="0C0BF09A" w:rsidR="00F5158A" w:rsidRPr="00B12D43" w:rsidRDefault="00CA71CF" w:rsidP="00CA71CF">
      <w:pPr>
        <w:pStyle w:val="ListParagraph"/>
        <w:numPr>
          <w:ilvl w:val="1"/>
          <w:numId w:val="27"/>
        </w:numPr>
        <w:spacing w:after="0" w:line="240" w:lineRule="auto"/>
        <w:jc w:val="both"/>
        <w:rPr>
          <w:rFonts w:eastAsia="Times New Roman"/>
          <w:b/>
          <w:bCs/>
          <w:color w:val="auto"/>
          <w:kern w:val="0"/>
          <w:sz w:val="22"/>
          <w:szCs w:val="22"/>
          <w14:ligatures w14:val="none"/>
        </w:rPr>
      </w:pPr>
      <w:r w:rsidRPr="00B12D43">
        <w:rPr>
          <w:b/>
          <w:bCs/>
          <w:sz w:val="20"/>
          <w:szCs w:val="20"/>
        </w:rPr>
        <w:t>85% of attendances by the 1st instalment due date or within 5 days following completion of the mandatory cooling off period whichever is the latest.</w:t>
      </w:r>
    </w:p>
    <w:p w14:paraId="77661942" w14:textId="45EEE551" w:rsidR="00892338" w:rsidRPr="00B12D43" w:rsidRDefault="00DD25A5" w:rsidP="00DD25A5">
      <w:pPr>
        <w:pStyle w:val="ListParagraph"/>
        <w:numPr>
          <w:ilvl w:val="1"/>
          <w:numId w:val="27"/>
        </w:numPr>
        <w:spacing w:after="0" w:line="240" w:lineRule="auto"/>
        <w:jc w:val="both"/>
        <w:rPr>
          <w:b/>
          <w:bCs/>
          <w:sz w:val="20"/>
          <w:szCs w:val="20"/>
        </w:rPr>
      </w:pPr>
      <w:r w:rsidRPr="00B12D43">
        <w:rPr>
          <w:b/>
          <w:bCs/>
          <w:sz w:val="20"/>
          <w:szCs w:val="20"/>
        </w:rPr>
        <w:t>95% of attendances within 30 days from first instalment due date or within 30 days following completion of the mandatory cooling off period whichever is later.</w:t>
      </w:r>
    </w:p>
    <w:p w14:paraId="7DE05260" w14:textId="3C6F5932" w:rsidR="00DD25A5" w:rsidRPr="00B12D43" w:rsidRDefault="00A70E7E" w:rsidP="00DD25A5">
      <w:pPr>
        <w:pStyle w:val="ListParagraph"/>
        <w:numPr>
          <w:ilvl w:val="1"/>
          <w:numId w:val="27"/>
        </w:numPr>
        <w:spacing w:after="0" w:line="240" w:lineRule="auto"/>
        <w:jc w:val="both"/>
        <w:rPr>
          <w:b/>
          <w:bCs/>
          <w:sz w:val="20"/>
          <w:szCs w:val="20"/>
        </w:rPr>
      </w:pPr>
      <w:r w:rsidRPr="00B12D43">
        <w:rPr>
          <w:b/>
          <w:bCs/>
          <w:sz w:val="20"/>
          <w:szCs w:val="20"/>
        </w:rPr>
        <w:t>98% of attendances within 60 days from first instalment due date or within 60 days following completion of the mandatory cooling off period whichever is later.</w:t>
      </w:r>
    </w:p>
    <w:p w14:paraId="0189CA18" w14:textId="0F9359F9" w:rsidR="004143B0" w:rsidRPr="00C55F2E" w:rsidRDefault="004143B0" w:rsidP="008206C2">
      <w:pPr>
        <w:pStyle w:val="ListParagraph"/>
        <w:numPr>
          <w:ilvl w:val="0"/>
          <w:numId w:val="27"/>
        </w:numPr>
        <w:spacing w:after="0" w:line="240" w:lineRule="auto"/>
        <w:ind w:left="738" w:hanging="454"/>
        <w:jc w:val="both"/>
        <w:rPr>
          <w:sz w:val="20"/>
          <w:szCs w:val="20"/>
        </w:rPr>
      </w:pPr>
      <w:r w:rsidRPr="00C55F2E">
        <w:rPr>
          <w:rFonts w:eastAsia="Times New Roman"/>
          <w:color w:val="auto"/>
          <w:kern w:val="0"/>
          <w:sz w:val="22"/>
          <w:szCs w:val="22"/>
          <w14:ligatures w14:val="none"/>
        </w:rPr>
        <w:t xml:space="preserve">The timeliness performance indicators for the subsequent </w:t>
      </w:r>
      <w:r w:rsidR="00846367" w:rsidRPr="00C55F2E">
        <w:rPr>
          <w:rFonts w:eastAsia="Times New Roman"/>
          <w:color w:val="auto"/>
          <w:kern w:val="0"/>
          <w:sz w:val="22"/>
          <w:szCs w:val="22"/>
          <w14:ligatures w14:val="none"/>
        </w:rPr>
        <w:t>instalments, where applicable</w:t>
      </w:r>
      <w:r w:rsidR="00212253" w:rsidRPr="00C55F2E">
        <w:rPr>
          <w:rFonts w:eastAsia="Times New Roman"/>
          <w:color w:val="auto"/>
          <w:kern w:val="0"/>
          <w:sz w:val="22"/>
          <w:szCs w:val="22"/>
          <w14:ligatures w14:val="none"/>
        </w:rPr>
        <w:t>,</w:t>
      </w:r>
      <w:r w:rsidR="00846367" w:rsidRPr="00C55F2E">
        <w:rPr>
          <w:rFonts w:eastAsia="Times New Roman"/>
          <w:color w:val="auto"/>
          <w:kern w:val="0"/>
          <w:sz w:val="22"/>
          <w:szCs w:val="22"/>
          <w14:ligatures w14:val="none"/>
        </w:rPr>
        <w:t xml:space="preserve"> are:</w:t>
      </w:r>
    </w:p>
    <w:p w14:paraId="54A669D0" w14:textId="69CE0994" w:rsidR="00212253" w:rsidRPr="00C55F2E" w:rsidRDefault="0099038D" w:rsidP="00212253">
      <w:pPr>
        <w:pStyle w:val="ListParagraph"/>
        <w:numPr>
          <w:ilvl w:val="1"/>
          <w:numId w:val="27"/>
        </w:numPr>
        <w:spacing w:after="0" w:line="240" w:lineRule="auto"/>
        <w:jc w:val="both"/>
        <w:rPr>
          <w:b/>
          <w:bCs/>
          <w:sz w:val="20"/>
          <w:szCs w:val="20"/>
        </w:rPr>
      </w:pPr>
      <w:r w:rsidRPr="00C55F2E">
        <w:rPr>
          <w:b/>
          <w:bCs/>
          <w:sz w:val="20"/>
          <w:szCs w:val="20"/>
        </w:rPr>
        <w:t>95% of attendances within 30 days of the instalment date.</w:t>
      </w:r>
    </w:p>
    <w:p w14:paraId="73E78463" w14:textId="3CCA6222" w:rsidR="0039358A" w:rsidRPr="00C55F2E" w:rsidRDefault="00B60EFB" w:rsidP="002D02A8">
      <w:pPr>
        <w:pStyle w:val="ListParagraph"/>
        <w:numPr>
          <w:ilvl w:val="1"/>
          <w:numId w:val="27"/>
        </w:numPr>
        <w:spacing w:after="120" w:line="240" w:lineRule="auto"/>
        <w:contextualSpacing w:val="0"/>
        <w:jc w:val="both"/>
        <w:rPr>
          <w:b/>
          <w:bCs/>
          <w:sz w:val="20"/>
          <w:szCs w:val="20"/>
        </w:rPr>
      </w:pPr>
      <w:r w:rsidRPr="00C55F2E">
        <w:rPr>
          <w:b/>
          <w:bCs/>
          <w:sz w:val="20"/>
          <w:szCs w:val="20"/>
        </w:rPr>
        <w:t>98% of attendances within 60 days of the instalment date.</w:t>
      </w:r>
    </w:p>
    <w:p w14:paraId="295B2C1F" w14:textId="203A3AA2" w:rsidR="002D02A8" w:rsidRPr="00C55F2E" w:rsidRDefault="002D02A8" w:rsidP="00520918">
      <w:pPr>
        <w:spacing w:after="120" w:line="240" w:lineRule="auto"/>
        <w:ind w:left="0" w:firstLine="0"/>
        <w:jc w:val="both"/>
        <w:rPr>
          <w:rFonts w:eastAsia="Times New Roman"/>
          <w:color w:val="auto"/>
          <w:kern w:val="0"/>
          <w:sz w:val="22"/>
          <w:szCs w:val="22"/>
          <w14:ligatures w14:val="none"/>
        </w:rPr>
      </w:pPr>
      <w:r w:rsidRPr="00C55F2E">
        <w:rPr>
          <w:rFonts w:eastAsia="Times New Roman"/>
          <w:color w:val="auto"/>
          <w:kern w:val="0"/>
          <w:sz w:val="22"/>
          <w:szCs w:val="22"/>
          <w14:ligatures w14:val="none"/>
        </w:rPr>
        <w:t>Accuracy of submissions</w:t>
      </w:r>
      <w:r w:rsidR="005944A3" w:rsidRPr="00C55F2E">
        <w:rPr>
          <w:rFonts w:eastAsia="Times New Roman"/>
          <w:color w:val="auto"/>
          <w:kern w:val="0"/>
          <w:sz w:val="22"/>
          <w:szCs w:val="22"/>
          <w14:ligatures w14:val="none"/>
        </w:rPr>
        <w:t xml:space="preserve"> – Measure 1</w:t>
      </w:r>
    </w:p>
    <w:p w14:paraId="10388226" w14:textId="30FF5549" w:rsidR="00296600" w:rsidRPr="00C55F2E" w:rsidRDefault="0042039F"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An error occurs when an attendance confirmation is first submitted but is then revoked by a notice of withdrawal with an effective date that precedes the attendance confirmation submission date. These errors have the consequence that the tuition fee payments, having been paid upon receipt of the attendance confirmation, becomes an overpayment that must be recouped.</w:t>
      </w:r>
    </w:p>
    <w:p w14:paraId="0269F131" w14:textId="048C3DDA" w:rsidR="00EF6289" w:rsidRPr="00C55F2E" w:rsidRDefault="00EF6289" w:rsidP="008206C2">
      <w:pPr>
        <w:pStyle w:val="ListParagraph"/>
        <w:numPr>
          <w:ilvl w:val="0"/>
          <w:numId w:val="27"/>
        </w:numPr>
        <w:spacing w:before="100" w:beforeAutospacing="1" w:after="100" w:afterAutospacing="1" w:line="240" w:lineRule="auto"/>
        <w:ind w:left="738" w:hanging="454"/>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The accuracy performance indicator is calculated as the number of errors identified divided by the total number of </w:t>
      </w:r>
      <w:r w:rsidR="00D8157A" w:rsidRPr="00C55F2E">
        <w:rPr>
          <w:rFonts w:eastAsia="Times New Roman"/>
          <w:color w:val="auto"/>
          <w:kern w:val="0"/>
          <w:sz w:val="22"/>
          <w:szCs w:val="22"/>
          <w14:ligatures w14:val="none"/>
        </w:rPr>
        <w:t>attendance</w:t>
      </w:r>
      <w:r w:rsidRPr="00C55F2E">
        <w:rPr>
          <w:rFonts w:eastAsia="Times New Roman"/>
          <w:color w:val="auto"/>
          <w:kern w:val="0"/>
          <w:sz w:val="22"/>
          <w:szCs w:val="22"/>
          <w14:ligatures w14:val="none"/>
        </w:rPr>
        <w:t xml:space="preserve"> confirmations received at the time of report creation. The performance indicator is:</w:t>
      </w:r>
    </w:p>
    <w:p w14:paraId="355693DB" w14:textId="77777777" w:rsidR="00EF6289" w:rsidRPr="00C55F2E" w:rsidRDefault="00EF6289" w:rsidP="00EF6289">
      <w:pPr>
        <w:pStyle w:val="ListParagraph"/>
        <w:numPr>
          <w:ilvl w:val="1"/>
          <w:numId w:val="27"/>
        </w:numPr>
        <w:spacing w:before="100" w:beforeAutospacing="1" w:after="100" w:afterAutospacing="1" w:line="240" w:lineRule="auto"/>
        <w:rPr>
          <w:rFonts w:eastAsia="Times New Roman"/>
          <w:b/>
          <w:bCs/>
          <w:color w:val="auto"/>
          <w:kern w:val="0"/>
          <w:sz w:val="20"/>
          <w:szCs w:val="20"/>
          <w14:ligatures w14:val="none"/>
        </w:rPr>
      </w:pPr>
      <w:r w:rsidRPr="00C55F2E">
        <w:rPr>
          <w:rFonts w:eastAsia="Times New Roman"/>
          <w:b/>
          <w:bCs/>
          <w:color w:val="auto"/>
          <w:kern w:val="0"/>
          <w:sz w:val="20"/>
          <w:szCs w:val="20"/>
          <w14:ligatures w14:val="none"/>
        </w:rPr>
        <w:t>99% of submissions should be accurate, that is, the error rate should be 1% or less.</w:t>
      </w:r>
    </w:p>
    <w:p w14:paraId="0C8D78FD" w14:textId="64161894" w:rsidR="005944A3" w:rsidRPr="00C55F2E" w:rsidRDefault="005944A3" w:rsidP="00520918">
      <w:pPr>
        <w:spacing w:before="100" w:beforeAutospacing="1" w:after="120" w:line="240" w:lineRule="auto"/>
        <w:ind w:left="11" w:hanging="11"/>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Accuracy of submissions – Measure </w:t>
      </w:r>
      <w:r w:rsidR="00DB4F6E" w:rsidRPr="00C55F2E">
        <w:rPr>
          <w:rFonts w:eastAsia="Times New Roman"/>
          <w:color w:val="auto"/>
          <w:kern w:val="0"/>
          <w:sz w:val="22"/>
          <w:szCs w:val="22"/>
          <w14:ligatures w14:val="none"/>
        </w:rPr>
        <w:t>2</w:t>
      </w:r>
    </w:p>
    <w:p w14:paraId="322AC40A" w14:textId="789C5A7B" w:rsidR="00520918" w:rsidRPr="00C55F2E" w:rsidRDefault="00CD3E58"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The second measure reviews cases where an attendance confirmation is submitted and then subsequently a course or fee Change of Circumstance notification is submitted with an effective date with predates the attendance confirmation submission date. This is an error as when confirming attendance in the first instance the HEP is </w:t>
      </w:r>
      <w:r w:rsidR="00300956" w:rsidRPr="00C55F2E">
        <w:rPr>
          <w:rFonts w:eastAsia="Times New Roman"/>
          <w:color w:val="auto"/>
          <w:kern w:val="0"/>
          <w:sz w:val="22"/>
          <w:szCs w:val="22"/>
          <w14:ligatures w14:val="none"/>
        </w:rPr>
        <w:t>confirming</w:t>
      </w:r>
      <w:r w:rsidRPr="00C55F2E">
        <w:rPr>
          <w:rFonts w:eastAsia="Times New Roman"/>
          <w:color w:val="auto"/>
          <w:kern w:val="0"/>
          <w:sz w:val="22"/>
          <w:szCs w:val="22"/>
          <w14:ligatures w14:val="none"/>
        </w:rPr>
        <w:t xml:space="preserve"> that the student is in attendance and that the course and fee details are correct.</w:t>
      </w:r>
    </w:p>
    <w:p w14:paraId="6BB331FA" w14:textId="77777777" w:rsidR="00300956" w:rsidRPr="00C55F2E" w:rsidRDefault="00300956" w:rsidP="008206C2">
      <w:pPr>
        <w:pStyle w:val="ListParagraph"/>
        <w:numPr>
          <w:ilvl w:val="0"/>
          <w:numId w:val="27"/>
        </w:numPr>
        <w:spacing w:before="100" w:beforeAutospacing="1" w:after="100" w:afterAutospacing="1" w:line="240" w:lineRule="auto"/>
        <w:ind w:left="738" w:hanging="454"/>
        <w:rPr>
          <w:rFonts w:eastAsia="Times New Roman"/>
          <w:color w:val="auto"/>
          <w:kern w:val="0"/>
          <w:sz w:val="22"/>
          <w:szCs w:val="22"/>
          <w14:ligatures w14:val="none"/>
        </w:rPr>
      </w:pPr>
      <w:r w:rsidRPr="00C55F2E">
        <w:rPr>
          <w:rFonts w:eastAsia="Times New Roman"/>
          <w:color w:val="auto"/>
          <w:kern w:val="0"/>
          <w:sz w:val="22"/>
          <w:szCs w:val="22"/>
          <w14:ligatures w14:val="none"/>
        </w:rPr>
        <w:t>The accuracy performance indicator is calculated as the number of errors identified divided by the total number of attendance confirmations received at the time of report creation. The performance indicator is:</w:t>
      </w:r>
    </w:p>
    <w:p w14:paraId="54914140" w14:textId="77777777" w:rsidR="00300956" w:rsidRPr="00C55F2E" w:rsidRDefault="00300956" w:rsidP="00300956">
      <w:pPr>
        <w:pStyle w:val="ListParagraph"/>
        <w:numPr>
          <w:ilvl w:val="1"/>
          <w:numId w:val="27"/>
        </w:numPr>
        <w:spacing w:before="100" w:beforeAutospacing="1" w:after="100" w:afterAutospacing="1" w:line="240" w:lineRule="auto"/>
        <w:rPr>
          <w:rFonts w:eastAsia="Times New Roman"/>
          <w:b/>
          <w:bCs/>
          <w:color w:val="auto"/>
          <w:kern w:val="0"/>
          <w:sz w:val="20"/>
          <w:szCs w:val="20"/>
          <w14:ligatures w14:val="none"/>
        </w:rPr>
      </w:pPr>
      <w:r w:rsidRPr="00C55F2E">
        <w:rPr>
          <w:rFonts w:eastAsia="Times New Roman"/>
          <w:b/>
          <w:bCs/>
          <w:color w:val="auto"/>
          <w:kern w:val="0"/>
          <w:sz w:val="20"/>
          <w:szCs w:val="20"/>
          <w14:ligatures w14:val="none"/>
        </w:rPr>
        <w:t>99% of submissions should be accurate, that is, the error rate should be 1% or less.</w:t>
      </w:r>
    </w:p>
    <w:p w14:paraId="2F67510B" w14:textId="4D0BFEE5" w:rsidR="00F61C76" w:rsidRPr="00C55F2E" w:rsidRDefault="00F61C76" w:rsidP="008206C2">
      <w:pPr>
        <w:pStyle w:val="Heading3"/>
        <w:spacing w:before="240" w:after="240"/>
        <w:rPr>
          <w:rFonts w:eastAsia="Times New Roman" w:cs="Calibri"/>
        </w:rPr>
      </w:pPr>
      <w:r w:rsidRPr="00C55F2E">
        <w:rPr>
          <w:rFonts w:eastAsia="Times New Roman" w:cs="Calibri"/>
        </w:rPr>
        <w:lastRenderedPageBreak/>
        <w:t>Change of Circumstance</w:t>
      </w:r>
    </w:p>
    <w:p w14:paraId="5BC4C94E" w14:textId="5EEDF507" w:rsidR="00C47BDF" w:rsidRPr="00C55F2E" w:rsidRDefault="00C47BDF" w:rsidP="00C47BDF">
      <w:pPr>
        <w:spacing w:after="120" w:line="240" w:lineRule="auto"/>
        <w:ind w:left="0" w:firstLine="0"/>
        <w:jc w:val="both"/>
        <w:rPr>
          <w:rFonts w:eastAsia="Times New Roman"/>
          <w:color w:val="auto"/>
          <w:kern w:val="0"/>
          <w:sz w:val="22"/>
          <w:szCs w:val="22"/>
          <w14:ligatures w14:val="none"/>
        </w:rPr>
      </w:pPr>
      <w:r w:rsidRPr="00C55F2E">
        <w:rPr>
          <w:rFonts w:eastAsia="Times New Roman"/>
          <w:color w:val="auto"/>
          <w:kern w:val="0"/>
          <w:sz w:val="22"/>
          <w:szCs w:val="22"/>
          <w14:ligatures w14:val="none"/>
        </w:rPr>
        <w:t>Changes to student application</w:t>
      </w:r>
      <w:r w:rsidR="0040661D" w:rsidRPr="00C55F2E">
        <w:rPr>
          <w:rFonts w:eastAsia="Times New Roman"/>
          <w:color w:val="auto"/>
          <w:kern w:val="0"/>
          <w:sz w:val="22"/>
          <w:szCs w:val="22"/>
          <w14:ligatures w14:val="none"/>
        </w:rPr>
        <w:t xml:space="preserve"> details, programme of study, location of study</w:t>
      </w:r>
      <w:r w:rsidRPr="00C55F2E">
        <w:rPr>
          <w:rFonts w:eastAsia="Times New Roman"/>
          <w:color w:val="auto"/>
          <w:kern w:val="0"/>
          <w:sz w:val="22"/>
          <w:szCs w:val="22"/>
          <w14:ligatures w14:val="none"/>
        </w:rPr>
        <w:t xml:space="preserve"> </w:t>
      </w:r>
      <w:r w:rsidR="00E7031A" w:rsidRPr="00C55F2E">
        <w:rPr>
          <w:rFonts w:eastAsia="Times New Roman"/>
          <w:color w:val="auto"/>
          <w:kern w:val="0"/>
          <w:sz w:val="22"/>
          <w:szCs w:val="22"/>
          <w14:ligatures w14:val="none"/>
        </w:rPr>
        <w:t xml:space="preserve">or </w:t>
      </w:r>
      <w:r w:rsidR="00BB3DE2" w:rsidRPr="00C55F2E">
        <w:rPr>
          <w:rFonts w:eastAsia="Times New Roman"/>
          <w:color w:val="auto"/>
          <w:kern w:val="0"/>
          <w:sz w:val="22"/>
          <w:szCs w:val="22"/>
          <w14:ligatures w14:val="none"/>
        </w:rPr>
        <w:t>withdrawal from study.</w:t>
      </w:r>
    </w:p>
    <w:p w14:paraId="670AA277" w14:textId="4C3EEDC5" w:rsidR="00752820" w:rsidRPr="00C55F2E" w:rsidRDefault="009C6C7D" w:rsidP="00C90FE5">
      <w:pPr>
        <w:spacing w:before="100" w:beforeAutospacing="1" w:after="120" w:line="240" w:lineRule="auto"/>
        <w:ind w:left="11" w:hanging="11"/>
        <w:rPr>
          <w:rFonts w:eastAsia="Times New Roman"/>
          <w:color w:val="auto"/>
          <w:kern w:val="0"/>
          <w:sz w:val="22"/>
          <w:szCs w:val="22"/>
          <w14:ligatures w14:val="none"/>
        </w:rPr>
      </w:pPr>
      <w:r w:rsidRPr="00C55F2E">
        <w:rPr>
          <w:rFonts w:eastAsia="Times New Roman"/>
          <w:color w:val="auto"/>
          <w:kern w:val="0"/>
          <w:sz w:val="22"/>
          <w:szCs w:val="22"/>
          <w14:ligatures w14:val="none"/>
        </w:rPr>
        <w:t>Verification of Study Programme and Notification of Changes</w:t>
      </w:r>
    </w:p>
    <w:p w14:paraId="41FEA4B0" w14:textId="32345A80" w:rsidR="00C90FE5" w:rsidRPr="00C55F2E" w:rsidRDefault="002F7D2F"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When a </w:t>
      </w:r>
      <w:r w:rsidR="00D010CD" w:rsidRPr="00C55F2E">
        <w:rPr>
          <w:rFonts w:eastAsia="Times New Roman"/>
          <w:color w:val="auto"/>
          <w:kern w:val="0"/>
          <w:sz w:val="22"/>
          <w:szCs w:val="22"/>
          <w14:ligatures w14:val="none"/>
        </w:rPr>
        <w:t>student</w:t>
      </w:r>
      <w:r w:rsidRPr="00C55F2E">
        <w:rPr>
          <w:rFonts w:eastAsia="Times New Roman"/>
          <w:color w:val="auto"/>
          <w:kern w:val="0"/>
          <w:sz w:val="22"/>
          <w:szCs w:val="22"/>
          <w14:ligatures w14:val="none"/>
        </w:rPr>
        <w:t xml:space="preserve"> changes their course of study </w:t>
      </w:r>
      <w:r w:rsidR="00D010CD" w:rsidRPr="00C55F2E">
        <w:rPr>
          <w:rFonts w:eastAsia="Times New Roman"/>
          <w:color w:val="auto"/>
          <w:kern w:val="0"/>
          <w:sz w:val="22"/>
          <w:szCs w:val="22"/>
          <w14:ligatures w14:val="none"/>
        </w:rPr>
        <w:t>or</w:t>
      </w:r>
      <w:r w:rsidRPr="00C55F2E">
        <w:rPr>
          <w:rFonts w:eastAsia="Times New Roman"/>
          <w:color w:val="auto"/>
          <w:kern w:val="0"/>
          <w:sz w:val="22"/>
          <w:szCs w:val="22"/>
          <w14:ligatures w14:val="none"/>
        </w:rPr>
        <w:t xml:space="preserve"> </w:t>
      </w:r>
      <w:r w:rsidR="00D010CD" w:rsidRPr="00C55F2E">
        <w:rPr>
          <w:rFonts w:eastAsia="Times New Roman"/>
          <w:color w:val="auto"/>
          <w:kern w:val="0"/>
          <w:sz w:val="22"/>
          <w:szCs w:val="22"/>
          <w14:ligatures w14:val="none"/>
        </w:rPr>
        <w:t>where</w:t>
      </w:r>
      <w:r w:rsidRPr="00C55F2E">
        <w:rPr>
          <w:rFonts w:eastAsia="Times New Roman"/>
          <w:color w:val="auto"/>
          <w:kern w:val="0"/>
          <w:sz w:val="22"/>
          <w:szCs w:val="22"/>
          <w14:ligatures w14:val="none"/>
        </w:rPr>
        <w:t xml:space="preserve"> the fees associated with a course are not correct, providers must submit a change of </w:t>
      </w:r>
      <w:r w:rsidR="00D010CD" w:rsidRPr="00C55F2E">
        <w:rPr>
          <w:rFonts w:eastAsia="Times New Roman"/>
          <w:color w:val="auto"/>
          <w:kern w:val="0"/>
          <w:sz w:val="22"/>
          <w:szCs w:val="22"/>
          <w14:ligatures w14:val="none"/>
        </w:rPr>
        <w:t>circumstance in a timely manner.</w:t>
      </w:r>
      <w:r w:rsidR="006C7BFF" w:rsidRPr="00C55F2E">
        <w:rPr>
          <w:rFonts w:eastAsia="Times New Roman"/>
          <w:color w:val="auto"/>
          <w:kern w:val="0"/>
          <w:sz w:val="22"/>
          <w:szCs w:val="22"/>
          <w14:ligatures w14:val="none"/>
        </w:rPr>
        <w:t xml:space="preserve"> The performance indicator for measuring this is:</w:t>
      </w:r>
    </w:p>
    <w:p w14:paraId="6DB8D5F1" w14:textId="377CE83B" w:rsidR="006C7BFF" w:rsidRPr="00C55F2E" w:rsidRDefault="001870C5" w:rsidP="009D2890">
      <w:pPr>
        <w:pStyle w:val="ListParagraph"/>
        <w:numPr>
          <w:ilvl w:val="1"/>
          <w:numId w:val="27"/>
        </w:numPr>
        <w:spacing w:after="0" w:line="240" w:lineRule="auto"/>
        <w:jc w:val="both"/>
        <w:rPr>
          <w:rFonts w:eastAsia="Times New Roman"/>
          <w:b/>
          <w:bCs/>
          <w:color w:val="auto"/>
          <w:kern w:val="0"/>
          <w:sz w:val="22"/>
          <w:szCs w:val="22"/>
          <w14:ligatures w14:val="none"/>
        </w:rPr>
      </w:pPr>
      <w:r w:rsidRPr="00C55F2E">
        <w:rPr>
          <w:rFonts w:eastAsia="Times New Roman"/>
          <w:b/>
          <w:bCs/>
          <w:color w:val="auto"/>
          <w:kern w:val="0"/>
          <w:sz w:val="20"/>
          <w:szCs w:val="20"/>
          <w14:ligatures w14:val="none"/>
        </w:rPr>
        <w:t>75% of module / course and fee CoCs must be submitted within 14 days of course start date. (this must precede an initial Attendance Confirmation)</w:t>
      </w:r>
      <w:r w:rsidR="00EB2FDC" w:rsidRPr="00C55F2E">
        <w:rPr>
          <w:rFonts w:eastAsia="Times New Roman"/>
          <w:b/>
          <w:bCs/>
          <w:color w:val="auto"/>
          <w:kern w:val="0"/>
          <w:sz w:val="20"/>
          <w:szCs w:val="20"/>
          <w14:ligatures w14:val="none"/>
        </w:rPr>
        <w:t>.</w:t>
      </w:r>
    </w:p>
    <w:p w14:paraId="6FCFF313" w14:textId="5079636A" w:rsidR="00950499" w:rsidRPr="00C55F2E" w:rsidRDefault="00A42E88" w:rsidP="008206C2">
      <w:pPr>
        <w:spacing w:before="100" w:beforeAutospacing="1" w:after="120" w:line="240" w:lineRule="auto"/>
        <w:rPr>
          <w:rFonts w:eastAsia="Times New Roman"/>
          <w:color w:val="auto"/>
          <w:kern w:val="0"/>
          <w:sz w:val="22"/>
          <w:szCs w:val="22"/>
          <w14:ligatures w14:val="none"/>
        </w:rPr>
      </w:pPr>
      <w:r w:rsidRPr="00C55F2E">
        <w:rPr>
          <w:rFonts w:eastAsia="Times New Roman"/>
          <w:color w:val="auto"/>
          <w:kern w:val="0"/>
          <w:sz w:val="22"/>
          <w:szCs w:val="22"/>
          <w14:ligatures w14:val="none"/>
        </w:rPr>
        <w:t>Withdrawal from study</w:t>
      </w:r>
    </w:p>
    <w:p w14:paraId="21504E56" w14:textId="3CA54110" w:rsidR="00AB53EB" w:rsidRPr="00C55F2E" w:rsidRDefault="005B0A36"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 xml:space="preserve">When a student withdraws from their studies, providers must promptly submit a withdrawal change of circumstance to minimise the risk of overpayment of maintenance loans and tuition fees. Timely submission also enables, where applicable, the recovery of any maintenance or tuition fee overpayments. </w:t>
      </w:r>
      <w:r w:rsidR="00B911B3" w:rsidRPr="00C55F2E">
        <w:rPr>
          <w:rFonts w:eastAsia="Times New Roman"/>
          <w:color w:val="auto"/>
          <w:kern w:val="0"/>
          <w:sz w:val="22"/>
          <w:szCs w:val="22"/>
          <w14:ligatures w14:val="none"/>
        </w:rPr>
        <w:t xml:space="preserve">The performance indicator </w:t>
      </w:r>
      <w:r w:rsidR="00AB53EB" w:rsidRPr="00C55F2E">
        <w:rPr>
          <w:rFonts w:eastAsia="Times New Roman"/>
          <w:color w:val="auto"/>
          <w:kern w:val="0"/>
          <w:sz w:val="22"/>
          <w:szCs w:val="22"/>
          <w14:ligatures w14:val="none"/>
        </w:rPr>
        <w:t>for this measure is:</w:t>
      </w:r>
    </w:p>
    <w:p w14:paraId="653E21CA" w14:textId="5234E999" w:rsidR="00AB53EB" w:rsidRPr="00C55F2E" w:rsidRDefault="00412B1A" w:rsidP="00412B1A">
      <w:pPr>
        <w:pStyle w:val="ListParagraph"/>
        <w:numPr>
          <w:ilvl w:val="1"/>
          <w:numId w:val="27"/>
        </w:numPr>
        <w:spacing w:after="0" w:line="240" w:lineRule="auto"/>
        <w:jc w:val="both"/>
        <w:rPr>
          <w:rFonts w:eastAsia="Times New Roman"/>
          <w:b/>
          <w:bCs/>
          <w:color w:val="auto"/>
          <w:kern w:val="0"/>
          <w:sz w:val="20"/>
          <w:szCs w:val="20"/>
          <w14:ligatures w14:val="none"/>
        </w:rPr>
      </w:pPr>
      <w:r w:rsidRPr="00C55F2E">
        <w:rPr>
          <w:rFonts w:eastAsia="Times New Roman"/>
          <w:b/>
          <w:bCs/>
          <w:color w:val="auto"/>
          <w:kern w:val="0"/>
          <w:sz w:val="20"/>
          <w:szCs w:val="20"/>
          <w14:ligatures w14:val="none"/>
        </w:rPr>
        <w:t>80% of withdrawals reported within 60 days of effective date.</w:t>
      </w:r>
    </w:p>
    <w:p w14:paraId="47902AAE" w14:textId="77777777" w:rsidR="00632F54" w:rsidRPr="00C55F2E" w:rsidRDefault="00632F54" w:rsidP="00632F54">
      <w:pPr>
        <w:spacing w:before="100" w:beforeAutospacing="1" w:after="120" w:line="240" w:lineRule="auto"/>
        <w:rPr>
          <w:rFonts w:eastAsia="Times New Roman"/>
          <w:color w:val="auto"/>
          <w:kern w:val="0"/>
          <w:sz w:val="22"/>
          <w:szCs w:val="22"/>
          <w14:ligatures w14:val="none"/>
        </w:rPr>
      </w:pPr>
      <w:r w:rsidRPr="00C55F2E">
        <w:rPr>
          <w:rFonts w:eastAsia="Times New Roman"/>
          <w:color w:val="auto"/>
          <w:kern w:val="0"/>
          <w:sz w:val="22"/>
          <w:szCs w:val="22"/>
          <w14:ligatures w14:val="none"/>
        </w:rPr>
        <w:t>Attendance Code Follow-Up Requirement</w:t>
      </w:r>
    </w:p>
    <w:p w14:paraId="05A2831F" w14:textId="2917A55E" w:rsidR="002A53AB" w:rsidRPr="00C55F2E" w:rsidRDefault="003B3FAF" w:rsidP="008206C2">
      <w:pPr>
        <w:pStyle w:val="ListParagraph"/>
        <w:numPr>
          <w:ilvl w:val="0"/>
          <w:numId w:val="27"/>
        </w:numPr>
        <w:spacing w:after="0" w:line="240" w:lineRule="auto"/>
        <w:ind w:left="738" w:hanging="454"/>
        <w:jc w:val="both"/>
        <w:rPr>
          <w:rFonts w:eastAsia="Times New Roman"/>
          <w:color w:val="auto"/>
          <w:kern w:val="0"/>
          <w:sz w:val="22"/>
          <w:szCs w:val="22"/>
          <w14:ligatures w14:val="none"/>
        </w:rPr>
      </w:pPr>
      <w:r w:rsidRPr="00C55F2E">
        <w:rPr>
          <w:rFonts w:eastAsia="Times New Roman"/>
          <w:color w:val="auto"/>
          <w:kern w:val="0"/>
          <w:sz w:val="22"/>
          <w:szCs w:val="22"/>
          <w14:ligatures w14:val="none"/>
        </w:rPr>
        <w:t>When a provider submits a negative attendance code, a corresponding change of circumstance must be submitted promptly. This ensures that all necessary business processes are completed and the student’s account accurately reflects the correct tuition fee, maintenance loan, and any applicable grants. The performance indicator for this measure is:</w:t>
      </w:r>
    </w:p>
    <w:p w14:paraId="45502D2C" w14:textId="1BA4DEC3" w:rsidR="003B3FAF" w:rsidRPr="00C55F2E" w:rsidRDefault="00951D27" w:rsidP="00951D27">
      <w:pPr>
        <w:pStyle w:val="ListParagraph"/>
        <w:numPr>
          <w:ilvl w:val="1"/>
          <w:numId w:val="27"/>
        </w:numPr>
        <w:spacing w:after="0" w:line="240" w:lineRule="auto"/>
        <w:jc w:val="both"/>
        <w:rPr>
          <w:rFonts w:eastAsia="Times New Roman"/>
          <w:b/>
          <w:bCs/>
          <w:color w:val="auto"/>
          <w:kern w:val="0"/>
          <w:sz w:val="20"/>
          <w:szCs w:val="20"/>
          <w14:ligatures w14:val="none"/>
        </w:rPr>
      </w:pPr>
      <w:r w:rsidRPr="00C55F2E">
        <w:rPr>
          <w:rFonts w:eastAsia="Times New Roman"/>
          <w:b/>
          <w:bCs/>
          <w:color w:val="auto"/>
          <w:kern w:val="0"/>
          <w:sz w:val="20"/>
          <w:szCs w:val="20"/>
          <w14:ligatures w14:val="none"/>
        </w:rPr>
        <w:t>80% of CoCs submitted within 60 days of AC return of a non- A code.</w:t>
      </w:r>
    </w:p>
    <w:p w14:paraId="249E949C" w14:textId="77777777" w:rsidR="003B3FAF" w:rsidRPr="00C55F2E" w:rsidRDefault="003B3FAF" w:rsidP="003B3FAF">
      <w:pPr>
        <w:spacing w:after="0" w:line="240" w:lineRule="auto"/>
        <w:jc w:val="both"/>
        <w:rPr>
          <w:rFonts w:eastAsia="Times New Roman"/>
          <w:color w:val="auto"/>
          <w:kern w:val="0"/>
          <w:sz w:val="22"/>
          <w:szCs w:val="22"/>
          <w14:ligatures w14:val="none"/>
        </w:rPr>
      </w:pPr>
    </w:p>
    <w:p w14:paraId="150277EA" w14:textId="77777777" w:rsidR="003B3FAF" w:rsidRPr="00C55F2E" w:rsidRDefault="003B3FAF" w:rsidP="003B3FAF">
      <w:pPr>
        <w:spacing w:after="0" w:line="240" w:lineRule="auto"/>
        <w:jc w:val="both"/>
        <w:rPr>
          <w:rFonts w:eastAsia="Times New Roman"/>
          <w:color w:val="auto"/>
          <w:kern w:val="0"/>
          <w:sz w:val="22"/>
          <w:szCs w:val="22"/>
          <w14:ligatures w14:val="none"/>
        </w:rPr>
      </w:pPr>
    </w:p>
    <w:p w14:paraId="2EF12BFA" w14:textId="77777777" w:rsidR="003B3FAF" w:rsidRPr="00C55F2E" w:rsidRDefault="003B3FAF" w:rsidP="003B3FAF">
      <w:pPr>
        <w:spacing w:after="0" w:line="240" w:lineRule="auto"/>
        <w:jc w:val="both"/>
        <w:rPr>
          <w:rFonts w:eastAsia="Times New Roman"/>
          <w:color w:val="auto"/>
          <w:kern w:val="0"/>
          <w:sz w:val="22"/>
          <w:szCs w:val="22"/>
          <w14:ligatures w14:val="none"/>
        </w:rPr>
      </w:pPr>
    </w:p>
    <w:p w14:paraId="7433C9E0" w14:textId="77777777" w:rsidR="003B3FAF" w:rsidRPr="00C55F2E" w:rsidRDefault="003B3FAF" w:rsidP="003B3FAF">
      <w:pPr>
        <w:spacing w:after="0" w:line="240" w:lineRule="auto"/>
        <w:jc w:val="both"/>
        <w:rPr>
          <w:rFonts w:eastAsia="Times New Roman"/>
          <w:color w:val="auto"/>
          <w:kern w:val="0"/>
          <w:sz w:val="22"/>
          <w:szCs w:val="22"/>
          <w14:ligatures w14:val="none"/>
        </w:rPr>
      </w:pPr>
    </w:p>
    <w:p w14:paraId="6B50214A" w14:textId="77777777" w:rsidR="00892338" w:rsidRPr="00C55F2E" w:rsidRDefault="00892338" w:rsidP="00892338"/>
    <w:p w14:paraId="75EDA92F" w14:textId="77777777" w:rsidR="00892338" w:rsidRPr="00C55F2E" w:rsidRDefault="00892338" w:rsidP="00892338">
      <w:pPr>
        <w:spacing w:before="100" w:beforeAutospacing="1" w:after="100" w:afterAutospacing="1" w:line="240" w:lineRule="auto"/>
        <w:rPr>
          <w:rFonts w:eastAsia="Times New Roman"/>
          <w:color w:val="auto"/>
          <w:kern w:val="0"/>
          <w:sz w:val="20"/>
          <w:szCs w:val="20"/>
          <w14:ligatures w14:val="none"/>
        </w:rPr>
      </w:pPr>
    </w:p>
    <w:p w14:paraId="4578548D" w14:textId="77777777" w:rsidR="004C342E" w:rsidRPr="00C55F2E" w:rsidRDefault="004C342E" w:rsidP="002D6B73">
      <w:pPr>
        <w:spacing w:before="100" w:beforeAutospacing="1" w:after="100" w:afterAutospacing="1" w:line="240" w:lineRule="auto"/>
        <w:ind w:left="0" w:firstLine="0"/>
        <w:jc w:val="both"/>
        <w:rPr>
          <w:rFonts w:eastAsia="Times New Roman"/>
          <w:color w:val="auto"/>
          <w:kern w:val="0"/>
          <w14:ligatures w14:val="none"/>
        </w:rPr>
      </w:pPr>
    </w:p>
    <w:sectPr w:rsidR="004C342E" w:rsidRPr="00C55F2E" w:rsidSect="007169EB">
      <w:headerReference w:type="even" r:id="rId43"/>
      <w:headerReference w:type="default" r:id="rId44"/>
      <w:footerReference w:type="even" r:id="rId45"/>
      <w:footerReference w:type="default" r:id="rId46"/>
      <w:headerReference w:type="first" r:id="rId47"/>
      <w:footerReference w:type="first" r:id="rId48"/>
      <w:pgSz w:w="11906" w:h="16838"/>
      <w:pgMar w:top="1134" w:right="1134" w:bottom="1985" w:left="1134" w:header="70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AD8D" w14:textId="77777777" w:rsidR="00B014CB" w:rsidRDefault="00B014CB" w:rsidP="00684D74">
      <w:pPr>
        <w:spacing w:after="0" w:line="240" w:lineRule="auto"/>
      </w:pPr>
      <w:r>
        <w:separator/>
      </w:r>
    </w:p>
  </w:endnote>
  <w:endnote w:type="continuationSeparator" w:id="0">
    <w:p w14:paraId="75AAF5FE" w14:textId="77777777" w:rsidR="00B014CB" w:rsidRDefault="00B014CB" w:rsidP="0068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Me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2C88" w14:textId="044E009E" w:rsidR="00A449A3" w:rsidRDefault="00A449A3">
    <w:pPr>
      <w:pStyle w:val="Footer"/>
    </w:pPr>
    <w:r>
      <w:rPr>
        <w:noProof/>
      </w:rPr>
      <mc:AlternateContent>
        <mc:Choice Requires="wps">
          <w:drawing>
            <wp:anchor distT="0" distB="0" distL="0" distR="0" simplePos="0" relativeHeight="251658249" behindDoc="0" locked="0" layoutInCell="1" allowOverlap="1" wp14:anchorId="3F7A6C0A" wp14:editId="05AC74A1">
              <wp:simplePos x="635" y="635"/>
              <wp:positionH relativeFrom="page">
                <wp:align>center</wp:align>
              </wp:positionH>
              <wp:positionV relativeFrom="page">
                <wp:align>bottom</wp:align>
              </wp:positionV>
              <wp:extent cx="1008380" cy="334645"/>
              <wp:effectExtent l="0" t="0" r="1270" b="0"/>
              <wp:wrapNone/>
              <wp:docPr id="43143581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8380" cy="334645"/>
                      </a:xfrm>
                      <a:prstGeom prst="rect">
                        <a:avLst/>
                      </a:prstGeom>
                      <a:noFill/>
                      <a:ln>
                        <a:noFill/>
                      </a:ln>
                    </wps:spPr>
                    <wps:txbx>
                      <w:txbxContent>
                        <w:p w14:paraId="734ACE2F" w14:textId="17D4DF8E" w:rsidR="00A449A3" w:rsidRPr="00A449A3" w:rsidRDefault="00A449A3" w:rsidP="00A449A3">
                          <w:pPr>
                            <w:spacing w:after="0"/>
                            <w:rPr>
                              <w:rFonts w:ascii="Aptos" w:eastAsia="Aptos" w:hAnsi="Aptos" w:cs="Aptos"/>
                              <w:noProof/>
                              <w:sz w:val="18"/>
                              <w:szCs w:val="18"/>
                            </w:rPr>
                          </w:pPr>
                          <w:r w:rsidRPr="00A449A3">
                            <w:rPr>
                              <w:rFonts w:ascii="Aptos" w:eastAsia="Aptos" w:hAnsi="Aptos" w:cs="Aptos"/>
                              <w:noProof/>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A6C0A" id="_x0000_t202" coordsize="21600,21600" o:spt="202" path="m,l,21600r21600,l21600,xe">
              <v:stroke joinstyle="miter"/>
              <v:path gradientshapeok="t" o:connecttype="rect"/>
            </v:shapetype>
            <v:shape id="Text Box 5" o:spid="_x0000_s1028" type="#_x0000_t202" alt="OFFICIAL SENSITIVE" style="position:absolute;left:0;text-align:left;margin-left:0;margin-top:0;width:79.4pt;height:26.3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" filled="f" stroked="f">
              <v:textbox style="mso-fit-shape-to-text:t" inset="0,0,0,15pt">
                <w:txbxContent>
                  <w:p w14:paraId="734ACE2F" w14:textId="17D4DF8E" w:rsidR="00A449A3" w:rsidRPr="00A449A3" w:rsidRDefault="00A449A3" w:rsidP="00A449A3">
                    <w:pPr>
                      <w:spacing w:after="0"/>
                      <w:rPr>
                        <w:rFonts w:ascii="Aptos" w:eastAsia="Aptos" w:hAnsi="Aptos" w:cs="Aptos"/>
                        <w:noProof/>
                        <w:sz w:val="18"/>
                        <w:szCs w:val="18"/>
                      </w:rPr>
                    </w:pPr>
                    <w:r w:rsidRPr="00A449A3">
                      <w:rPr>
                        <w:rFonts w:ascii="Aptos" w:eastAsia="Aptos" w:hAnsi="Aptos" w:cs="Aptos"/>
                        <w:noProof/>
                        <w:sz w:val="18"/>
                        <w:szCs w:val="18"/>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9B5F" w14:textId="4356B4BA" w:rsidR="007169EB" w:rsidRDefault="00A449A3">
    <w:pPr>
      <w:pStyle w:val="Footer"/>
      <w:jc w:val="center"/>
      <w:rPr>
        <w:color w:val="006060" w:themeColor="accent1"/>
      </w:rPr>
    </w:pPr>
    <w:r>
      <w:rPr>
        <w:noProof/>
        <w:color w:val="006060" w:themeColor="accent1"/>
      </w:rPr>
      <mc:AlternateContent>
        <mc:Choice Requires="wps">
          <w:drawing>
            <wp:anchor distT="0" distB="0" distL="0" distR="0" simplePos="0" relativeHeight="251658250" behindDoc="0" locked="0" layoutInCell="1" allowOverlap="1" wp14:anchorId="70601D68" wp14:editId="660BD17F">
              <wp:simplePos x="635" y="675005"/>
              <wp:positionH relativeFrom="page">
                <wp:align>center</wp:align>
              </wp:positionH>
              <wp:positionV relativeFrom="page">
                <wp:align>bottom</wp:align>
              </wp:positionV>
              <wp:extent cx="1008380" cy="334645"/>
              <wp:effectExtent l="0" t="0" r="1270" b="0"/>
              <wp:wrapNone/>
              <wp:docPr id="251774981"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8380" cy="334645"/>
                      </a:xfrm>
                      <a:prstGeom prst="rect">
                        <a:avLst/>
                      </a:prstGeom>
                      <a:noFill/>
                      <a:ln>
                        <a:noFill/>
                      </a:ln>
                    </wps:spPr>
                    <wps:txbx>
                      <w:txbxContent>
                        <w:p w14:paraId="48989664" w14:textId="20CE6434" w:rsidR="00A449A3" w:rsidRPr="00A449A3" w:rsidRDefault="00A449A3" w:rsidP="00A449A3">
                          <w:pPr>
                            <w:spacing w:after="0"/>
                            <w:rPr>
                              <w:rFonts w:ascii="Aptos" w:eastAsia="Aptos" w:hAnsi="Aptos" w:cs="Aptos"/>
                              <w:noProof/>
                              <w:sz w:val="18"/>
                              <w:szCs w:val="18"/>
                            </w:rPr>
                          </w:pPr>
                          <w:r w:rsidRPr="00A449A3">
                            <w:rPr>
                              <w:rFonts w:ascii="Aptos" w:eastAsia="Aptos" w:hAnsi="Aptos" w:cs="Aptos"/>
                              <w:noProof/>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601D68"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79.4pt;height:26.3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" filled="f" stroked="f">
              <v:textbox style="mso-fit-shape-to-text:t" inset="0,0,0,15pt">
                <w:txbxContent>
                  <w:p w14:paraId="48989664" w14:textId="20CE6434" w:rsidR="00A449A3" w:rsidRPr="00A449A3" w:rsidRDefault="00A449A3" w:rsidP="00A449A3">
                    <w:pPr>
                      <w:spacing w:after="0"/>
                      <w:rPr>
                        <w:rFonts w:ascii="Aptos" w:eastAsia="Aptos" w:hAnsi="Aptos" w:cs="Aptos"/>
                        <w:noProof/>
                        <w:sz w:val="18"/>
                        <w:szCs w:val="18"/>
                      </w:rPr>
                    </w:pPr>
                    <w:r w:rsidRPr="00A449A3">
                      <w:rPr>
                        <w:rFonts w:ascii="Aptos" w:eastAsia="Aptos" w:hAnsi="Aptos" w:cs="Aptos"/>
                        <w:noProof/>
                        <w:sz w:val="18"/>
                        <w:szCs w:val="18"/>
                      </w:rPr>
                      <w:t>OFFICIAL SENSITIVE</w:t>
                    </w:r>
                  </w:p>
                </w:txbxContent>
              </v:textbox>
              <w10:wrap anchorx="page" anchory="page"/>
            </v:shape>
          </w:pict>
        </mc:Fallback>
      </mc:AlternateContent>
    </w:r>
    <w:r w:rsidR="007169EB">
      <w:rPr>
        <w:color w:val="006060" w:themeColor="accent1"/>
      </w:rPr>
      <w:t xml:space="preserve">Page </w:t>
    </w:r>
    <w:r w:rsidR="007169EB">
      <w:rPr>
        <w:color w:val="006060" w:themeColor="accent1"/>
      </w:rPr>
      <w:fldChar w:fldCharType="begin"/>
    </w:r>
    <w:r w:rsidR="007169EB">
      <w:rPr>
        <w:color w:val="006060" w:themeColor="accent1"/>
      </w:rPr>
      <w:instrText xml:space="preserve"> PAGE  \* Arabic  \* MERGEFORMAT </w:instrText>
    </w:r>
    <w:r w:rsidR="007169EB">
      <w:rPr>
        <w:color w:val="006060" w:themeColor="accent1"/>
      </w:rPr>
      <w:fldChar w:fldCharType="separate"/>
    </w:r>
    <w:r w:rsidR="007169EB">
      <w:rPr>
        <w:noProof/>
        <w:color w:val="006060" w:themeColor="accent1"/>
      </w:rPr>
      <w:t>2</w:t>
    </w:r>
    <w:r w:rsidR="007169EB">
      <w:rPr>
        <w:color w:val="006060" w:themeColor="accent1"/>
      </w:rPr>
      <w:fldChar w:fldCharType="end"/>
    </w:r>
    <w:r w:rsidR="007169EB">
      <w:rPr>
        <w:color w:val="006060" w:themeColor="accent1"/>
      </w:rPr>
      <w:t xml:space="preserve"> of </w:t>
    </w:r>
    <w:r w:rsidR="007169EB">
      <w:rPr>
        <w:color w:val="006060" w:themeColor="accent1"/>
      </w:rPr>
      <w:fldChar w:fldCharType="begin"/>
    </w:r>
    <w:r w:rsidR="007169EB">
      <w:rPr>
        <w:color w:val="006060" w:themeColor="accent1"/>
      </w:rPr>
      <w:instrText xml:space="preserve"> NUMPAGES  \* Arabic  \* MERGEFORMAT </w:instrText>
    </w:r>
    <w:r w:rsidR="007169EB">
      <w:rPr>
        <w:color w:val="006060" w:themeColor="accent1"/>
      </w:rPr>
      <w:fldChar w:fldCharType="separate"/>
    </w:r>
    <w:r w:rsidR="007169EB">
      <w:rPr>
        <w:noProof/>
        <w:color w:val="006060" w:themeColor="accent1"/>
      </w:rPr>
      <w:t>2</w:t>
    </w:r>
    <w:r w:rsidR="007169EB">
      <w:rPr>
        <w:color w:val="006060" w:themeColor="accent1"/>
      </w:rPr>
      <w:fldChar w:fldCharType="end"/>
    </w:r>
  </w:p>
  <w:p w14:paraId="2D9C8A82" w14:textId="178125D8" w:rsidR="00684D74" w:rsidRDefault="00684D74" w:rsidP="006107A8">
    <w:pPr>
      <w:pStyle w:val="Footer"/>
      <w:tabs>
        <w:tab w:val="clear" w:pos="4513"/>
        <w:tab w:val="clear" w:pos="9026"/>
        <w:tab w:val="left" w:pos="9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99EE" w14:textId="0C2FFB1F" w:rsidR="00684D74" w:rsidRDefault="00A449A3">
    <w:pPr>
      <w:pStyle w:val="Footer"/>
    </w:pPr>
    <w:r>
      <w:rPr>
        <w:rFonts w:ascii="HelveticaNeueLT Std Med" w:hAnsi="HelveticaNeueLT Std Med"/>
        <w:noProof/>
        <w:color w:val="C3E682"/>
        <w:sz w:val="56"/>
        <w:szCs w:val="56"/>
      </w:rPr>
      <mc:AlternateContent>
        <mc:Choice Requires="wps">
          <w:drawing>
            <wp:anchor distT="0" distB="0" distL="0" distR="0" simplePos="0" relativeHeight="251658248" behindDoc="0" locked="0" layoutInCell="1" allowOverlap="1" wp14:anchorId="27C18C63" wp14:editId="1083ECBD">
              <wp:simplePos x="635" y="635"/>
              <wp:positionH relativeFrom="page">
                <wp:align>center</wp:align>
              </wp:positionH>
              <wp:positionV relativeFrom="page">
                <wp:align>bottom</wp:align>
              </wp:positionV>
              <wp:extent cx="1008380" cy="334645"/>
              <wp:effectExtent l="0" t="0" r="1270" b="0"/>
              <wp:wrapNone/>
              <wp:docPr id="195901500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8380" cy="334645"/>
                      </a:xfrm>
                      <a:prstGeom prst="rect">
                        <a:avLst/>
                      </a:prstGeom>
                      <a:noFill/>
                      <a:ln>
                        <a:noFill/>
                      </a:ln>
                    </wps:spPr>
                    <wps:txbx>
                      <w:txbxContent>
                        <w:p w14:paraId="5842F6DD" w14:textId="1C0553E1" w:rsidR="00A449A3" w:rsidRPr="00A449A3" w:rsidRDefault="00A449A3" w:rsidP="00A449A3">
                          <w:pPr>
                            <w:spacing w:after="0"/>
                            <w:rPr>
                              <w:rFonts w:ascii="Aptos" w:eastAsia="Aptos" w:hAnsi="Aptos" w:cs="Aptos"/>
                              <w:noProof/>
                              <w:sz w:val="18"/>
                              <w:szCs w:val="18"/>
                            </w:rPr>
                          </w:pPr>
                          <w:r w:rsidRPr="00A449A3">
                            <w:rPr>
                              <w:rFonts w:ascii="Aptos" w:eastAsia="Aptos" w:hAnsi="Aptos" w:cs="Aptos"/>
                              <w:noProof/>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18C63"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79.4pt;height:26.3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" filled="f" stroked="f">
              <v:textbox style="mso-fit-shape-to-text:t" inset="0,0,0,15pt">
                <w:txbxContent>
                  <w:p w14:paraId="5842F6DD" w14:textId="1C0553E1" w:rsidR="00A449A3" w:rsidRPr="00A449A3" w:rsidRDefault="00A449A3" w:rsidP="00A449A3">
                    <w:pPr>
                      <w:spacing w:after="0"/>
                      <w:rPr>
                        <w:rFonts w:ascii="Aptos" w:eastAsia="Aptos" w:hAnsi="Aptos" w:cs="Aptos"/>
                        <w:noProof/>
                        <w:sz w:val="18"/>
                        <w:szCs w:val="18"/>
                      </w:rPr>
                    </w:pPr>
                    <w:r w:rsidRPr="00A449A3">
                      <w:rPr>
                        <w:rFonts w:ascii="Aptos" w:eastAsia="Aptos" w:hAnsi="Aptos" w:cs="Aptos"/>
                        <w:noProof/>
                        <w:sz w:val="18"/>
                        <w:szCs w:val="18"/>
                      </w:rPr>
                      <w:t>OFFICIAL SENSITIVE</w:t>
                    </w:r>
                  </w:p>
                </w:txbxContent>
              </v:textbox>
              <w10:wrap anchorx="page" anchory="page"/>
            </v:shape>
          </w:pict>
        </mc:Fallback>
      </mc:AlternateContent>
    </w:r>
    <w:r w:rsidR="00684D74">
      <w:rPr>
        <w:rFonts w:ascii="HelveticaNeueLT Std Med" w:hAnsi="HelveticaNeueLT Std Med"/>
        <w:noProof/>
        <w:color w:val="C3E682"/>
        <w:sz w:val="56"/>
        <w:szCs w:val="56"/>
      </w:rPr>
      <w:drawing>
        <wp:anchor distT="0" distB="0" distL="114300" distR="114300" simplePos="0" relativeHeight="251658242" behindDoc="1" locked="0" layoutInCell="1" allowOverlap="1" wp14:anchorId="306E6F59" wp14:editId="1E5492B8">
          <wp:simplePos x="0" y="0"/>
          <wp:positionH relativeFrom="page">
            <wp:align>right</wp:align>
          </wp:positionH>
          <wp:positionV relativeFrom="paragraph">
            <wp:posOffset>-1216116</wp:posOffset>
          </wp:positionV>
          <wp:extent cx="7555865" cy="1824990"/>
          <wp:effectExtent l="0" t="0" r="0" b="0"/>
          <wp:wrapNone/>
          <wp:docPr id="126699395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863"/>
                  <a:stretch/>
                </pic:blipFill>
                <pic:spPr bwMode="auto">
                  <a:xfrm>
                    <a:off x="0" y="0"/>
                    <a:ext cx="7555865"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008E" w14:textId="77777777" w:rsidR="00B014CB" w:rsidRDefault="00B014CB" w:rsidP="00684D74">
      <w:pPr>
        <w:spacing w:after="0" w:line="240" w:lineRule="auto"/>
      </w:pPr>
      <w:r>
        <w:separator/>
      </w:r>
    </w:p>
  </w:footnote>
  <w:footnote w:type="continuationSeparator" w:id="0">
    <w:p w14:paraId="09C94CAE" w14:textId="77777777" w:rsidR="00B014CB" w:rsidRDefault="00B014CB" w:rsidP="0068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D558" w14:textId="3B5CC1B8" w:rsidR="00A449A3" w:rsidRDefault="00A449A3">
    <w:pPr>
      <w:pStyle w:val="Header"/>
    </w:pPr>
    <w:r>
      <w:rPr>
        <w:noProof/>
      </w:rPr>
      <mc:AlternateContent>
        <mc:Choice Requires="wps">
          <w:drawing>
            <wp:anchor distT="0" distB="0" distL="0" distR="0" simplePos="0" relativeHeight="251658246" behindDoc="0" locked="0" layoutInCell="1" allowOverlap="1" wp14:anchorId="70808E2D" wp14:editId="2F4A42AC">
              <wp:simplePos x="635" y="635"/>
              <wp:positionH relativeFrom="page">
                <wp:align>center</wp:align>
              </wp:positionH>
              <wp:positionV relativeFrom="page">
                <wp:align>top</wp:align>
              </wp:positionV>
              <wp:extent cx="1232535" cy="367030"/>
              <wp:effectExtent l="0" t="0" r="5715" b="13970"/>
              <wp:wrapNone/>
              <wp:docPr id="82844435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2535" cy="367030"/>
                      </a:xfrm>
                      <a:prstGeom prst="rect">
                        <a:avLst/>
                      </a:prstGeom>
                      <a:noFill/>
                      <a:ln>
                        <a:noFill/>
                      </a:ln>
                    </wps:spPr>
                    <wps:txbx>
                      <w:txbxContent>
                        <w:p w14:paraId="69662FEC" w14:textId="10496D7E" w:rsidR="00A449A3" w:rsidRPr="00A449A3" w:rsidRDefault="00A449A3" w:rsidP="00A449A3">
                          <w:pPr>
                            <w:spacing w:after="0"/>
                            <w:rPr>
                              <w:rFonts w:ascii="Aptos" w:eastAsia="Aptos" w:hAnsi="Aptos" w:cs="Aptos"/>
                              <w:noProof/>
                              <w:sz w:val="22"/>
                              <w:szCs w:val="22"/>
                            </w:rPr>
                          </w:pPr>
                          <w:r w:rsidRPr="00A449A3">
                            <w:rPr>
                              <w:rFonts w:ascii="Aptos" w:eastAsia="Aptos" w:hAnsi="Aptos" w:cs="Aptos"/>
                              <w:noProof/>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08E2D"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97.05pt;height:28.9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" filled="f" stroked="f">
              <v:textbox style="mso-fit-shape-to-text:t" inset="0,15pt,0,0">
                <w:txbxContent>
                  <w:p w14:paraId="69662FEC" w14:textId="10496D7E" w:rsidR="00A449A3" w:rsidRPr="00A449A3" w:rsidRDefault="00A449A3" w:rsidP="00A449A3">
                    <w:pPr>
                      <w:spacing w:after="0"/>
                      <w:rPr>
                        <w:rFonts w:ascii="Aptos" w:eastAsia="Aptos" w:hAnsi="Aptos" w:cs="Aptos"/>
                        <w:noProof/>
                        <w:sz w:val="22"/>
                        <w:szCs w:val="22"/>
                      </w:rPr>
                    </w:pPr>
                    <w:r w:rsidRPr="00A449A3">
                      <w:rPr>
                        <w:rFonts w:ascii="Aptos" w:eastAsia="Aptos" w:hAnsi="Aptos" w:cs="Aptos"/>
                        <w:noProof/>
                        <w:sz w:val="22"/>
                        <w:szCs w:val="22"/>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ED0" w14:textId="654DFACE" w:rsidR="00684D74" w:rsidRDefault="00A449A3" w:rsidP="002E1E14">
    <w:pPr>
      <w:pStyle w:val="DocumentHeaderPage2"/>
    </w:pPr>
    <w:r>
      <w:rPr>
        <w:rFonts w:ascii="HelveticaNeueLT Std Med" w:hAnsi="HelveticaNeueLT Std Med"/>
        <w:noProof/>
        <w:color w:val="C3E682"/>
        <w:sz w:val="56"/>
        <w:szCs w:val="56"/>
        <w14:ligatures w14:val="standardContextual"/>
      </w:rPr>
      <mc:AlternateContent>
        <mc:Choice Requires="wps">
          <w:drawing>
            <wp:anchor distT="0" distB="0" distL="0" distR="0" simplePos="0" relativeHeight="251658247" behindDoc="0" locked="0" layoutInCell="1" allowOverlap="1" wp14:anchorId="7B9BA8F1" wp14:editId="46D7F526">
              <wp:simplePos x="635" y="675005"/>
              <wp:positionH relativeFrom="page">
                <wp:align>center</wp:align>
              </wp:positionH>
              <wp:positionV relativeFrom="page">
                <wp:align>top</wp:align>
              </wp:positionV>
              <wp:extent cx="1232535" cy="367030"/>
              <wp:effectExtent l="0" t="0" r="5715" b="13970"/>
              <wp:wrapNone/>
              <wp:docPr id="128574716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2535" cy="367030"/>
                      </a:xfrm>
                      <a:prstGeom prst="rect">
                        <a:avLst/>
                      </a:prstGeom>
                      <a:noFill/>
                      <a:ln>
                        <a:noFill/>
                      </a:ln>
                    </wps:spPr>
                    <wps:txbx>
                      <w:txbxContent>
                        <w:p w14:paraId="61996AA3" w14:textId="559CD5CA" w:rsidR="00A449A3" w:rsidRPr="00876941" w:rsidRDefault="00A449A3" w:rsidP="00A449A3">
                          <w:pPr>
                            <w:spacing w:after="0"/>
                            <w:rPr>
                              <w:rFonts w:ascii="Aptos" w:eastAsia="Aptos" w:hAnsi="Aptos" w:cs="Aptos"/>
                              <w:noProof/>
                              <w:color w:val="FFFFFF" w:themeColor="background1"/>
                              <w:sz w:val="22"/>
                              <w:szCs w:val="22"/>
                            </w:rPr>
                          </w:pPr>
                          <w:r w:rsidRPr="00876941">
                            <w:rPr>
                              <w:rFonts w:ascii="Aptos" w:eastAsia="Aptos" w:hAnsi="Aptos" w:cs="Aptos"/>
                              <w:noProof/>
                              <w:color w:val="FFFFFF" w:themeColor="background1"/>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BA8F1"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97.05pt;height:28.9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" filled="f" stroked="f">
              <v:textbox style="mso-fit-shape-to-text:t" inset="0,15pt,0,0">
                <w:txbxContent>
                  <w:p w14:paraId="61996AA3" w14:textId="559CD5CA" w:rsidR="00A449A3" w:rsidRPr="00876941" w:rsidRDefault="00A449A3" w:rsidP="00A449A3">
                    <w:pPr>
                      <w:spacing w:after="0"/>
                      <w:rPr>
                        <w:rFonts w:ascii="Aptos" w:eastAsia="Aptos" w:hAnsi="Aptos" w:cs="Aptos"/>
                        <w:noProof/>
                        <w:color w:val="FFFFFF" w:themeColor="background1"/>
                        <w:sz w:val="22"/>
                        <w:szCs w:val="22"/>
                      </w:rPr>
                    </w:pPr>
                    <w:r w:rsidRPr="00876941">
                      <w:rPr>
                        <w:rFonts w:ascii="Aptos" w:eastAsia="Aptos" w:hAnsi="Aptos" w:cs="Aptos"/>
                        <w:noProof/>
                        <w:color w:val="FFFFFF" w:themeColor="background1"/>
                        <w:sz w:val="22"/>
                        <w:szCs w:val="22"/>
                      </w:rPr>
                      <w:t>OFFICIAL SENSITIVE</w:t>
                    </w:r>
                  </w:p>
                </w:txbxContent>
              </v:textbox>
              <w10:wrap anchorx="page" anchory="page"/>
            </v:shape>
          </w:pict>
        </mc:Fallback>
      </mc:AlternateContent>
    </w:r>
    <w:r w:rsidR="001C13E9">
      <w:rPr>
        <w:rFonts w:ascii="HelveticaNeueLT Std Med" w:hAnsi="HelveticaNeueLT Std Med"/>
        <w:noProof/>
        <w:color w:val="C3E682"/>
        <w:sz w:val="56"/>
        <w:szCs w:val="56"/>
      </w:rPr>
      <w:drawing>
        <wp:anchor distT="0" distB="0" distL="114300" distR="114300" simplePos="0" relativeHeight="251658241" behindDoc="1" locked="0" layoutInCell="1" allowOverlap="1" wp14:anchorId="665E3436" wp14:editId="125A3811">
          <wp:simplePos x="0" y="0"/>
          <wp:positionH relativeFrom="page">
            <wp:posOffset>0</wp:posOffset>
          </wp:positionH>
          <wp:positionV relativeFrom="paragraph">
            <wp:posOffset>976449</wp:posOffset>
          </wp:positionV>
          <wp:extent cx="7556500" cy="7750628"/>
          <wp:effectExtent l="0" t="0" r="6350" b="0"/>
          <wp:wrapNone/>
          <wp:docPr id="1986214384"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t="13182" b="14058"/>
                  <a:stretch/>
                </pic:blipFill>
                <pic:spPr bwMode="auto">
                  <a:xfrm>
                    <a:off x="0" y="0"/>
                    <a:ext cx="7556500" cy="77506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4D74">
      <w:rPr>
        <w:rFonts w:ascii="HelveticaNeueLT Std Med" w:hAnsi="HelveticaNeueLT Std Med"/>
        <w:noProof/>
        <w:color w:val="C3E682"/>
        <w:sz w:val="56"/>
        <w:szCs w:val="56"/>
      </w:rPr>
      <w:drawing>
        <wp:anchor distT="0" distB="0" distL="114300" distR="114300" simplePos="0" relativeHeight="251658240" behindDoc="1" locked="0" layoutInCell="1" allowOverlap="1" wp14:anchorId="45B94278" wp14:editId="5FC61C71">
          <wp:simplePos x="0" y="0"/>
          <wp:positionH relativeFrom="page">
            <wp:align>left</wp:align>
          </wp:positionH>
          <wp:positionV relativeFrom="paragraph">
            <wp:posOffset>-439873</wp:posOffset>
          </wp:positionV>
          <wp:extent cx="7555230" cy="10668037"/>
          <wp:effectExtent l="0" t="0" r="7620" b="0"/>
          <wp:wrapNone/>
          <wp:docPr id="337348575"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2">
                    <a:extLst>
                      <a:ext uri="{28A0092B-C50C-407E-A947-70E740481C1C}">
                        <a14:useLocalDpi xmlns:a14="http://schemas.microsoft.com/office/drawing/2010/main" val="0"/>
                      </a:ext>
                    </a:extLst>
                  </a:blip>
                  <a:stretch>
                    <a:fillRect/>
                  </a:stretch>
                </pic:blipFill>
                <pic:spPr>
                  <a:xfrm>
                    <a:off x="0" y="0"/>
                    <a:ext cx="7555230" cy="1066803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FF0" w14:textId="16626538" w:rsidR="00684D74" w:rsidRDefault="00A449A3">
    <w:pPr>
      <w:pStyle w:val="Header"/>
    </w:pPr>
    <w:r>
      <w:rPr>
        <w:rFonts w:ascii="HelveticaNeueLT Std Med" w:hAnsi="HelveticaNeueLT Std Med"/>
        <w:noProof/>
        <w:color w:val="C3E682"/>
        <w:sz w:val="56"/>
        <w:szCs w:val="56"/>
      </w:rPr>
      <mc:AlternateContent>
        <mc:Choice Requires="wps">
          <w:drawing>
            <wp:anchor distT="0" distB="0" distL="0" distR="0" simplePos="0" relativeHeight="251658245" behindDoc="0" locked="0" layoutInCell="1" allowOverlap="1" wp14:anchorId="57D1D1A9" wp14:editId="4FA3E864">
              <wp:simplePos x="635" y="635"/>
              <wp:positionH relativeFrom="page">
                <wp:align>center</wp:align>
              </wp:positionH>
              <wp:positionV relativeFrom="page">
                <wp:align>top</wp:align>
              </wp:positionV>
              <wp:extent cx="1232535" cy="367030"/>
              <wp:effectExtent l="0" t="0" r="5715" b="13970"/>
              <wp:wrapNone/>
              <wp:docPr id="41438674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2535" cy="367030"/>
                      </a:xfrm>
                      <a:prstGeom prst="rect">
                        <a:avLst/>
                      </a:prstGeom>
                      <a:noFill/>
                      <a:ln>
                        <a:noFill/>
                      </a:ln>
                    </wps:spPr>
                    <wps:txbx>
                      <w:txbxContent>
                        <w:p w14:paraId="546D2FA1" w14:textId="7BC905D5" w:rsidR="00A449A3" w:rsidRPr="005D6C1B" w:rsidRDefault="00A449A3" w:rsidP="00A449A3">
                          <w:pPr>
                            <w:spacing w:after="0"/>
                            <w:rPr>
                              <w:rFonts w:ascii="Aptos" w:eastAsia="Aptos" w:hAnsi="Aptos" w:cs="Aptos"/>
                              <w:noProof/>
                              <w:color w:val="FFFFFF" w:themeColor="background1"/>
                              <w:sz w:val="22"/>
                              <w:szCs w:val="22"/>
                            </w:rPr>
                          </w:pPr>
                          <w:r w:rsidRPr="005D6C1B">
                            <w:rPr>
                              <w:rFonts w:ascii="Aptos" w:eastAsia="Aptos" w:hAnsi="Aptos" w:cs="Aptos"/>
                              <w:noProof/>
                              <w:color w:val="FFFFFF" w:themeColor="background1"/>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1D1A9"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97.05pt;height:28.9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" filled="f" stroked="f">
              <v:textbox style="mso-fit-shape-to-text:t" inset="0,15pt,0,0">
                <w:txbxContent>
                  <w:p w14:paraId="546D2FA1" w14:textId="7BC905D5" w:rsidR="00A449A3" w:rsidRPr="005D6C1B" w:rsidRDefault="00A449A3" w:rsidP="00A449A3">
                    <w:pPr>
                      <w:spacing w:after="0"/>
                      <w:rPr>
                        <w:rFonts w:ascii="Aptos" w:eastAsia="Aptos" w:hAnsi="Aptos" w:cs="Aptos"/>
                        <w:noProof/>
                        <w:color w:val="FFFFFF" w:themeColor="background1"/>
                        <w:sz w:val="22"/>
                        <w:szCs w:val="22"/>
                      </w:rPr>
                    </w:pPr>
                    <w:r w:rsidRPr="005D6C1B">
                      <w:rPr>
                        <w:rFonts w:ascii="Aptos" w:eastAsia="Aptos" w:hAnsi="Aptos" w:cs="Aptos"/>
                        <w:noProof/>
                        <w:color w:val="FFFFFF" w:themeColor="background1"/>
                        <w:sz w:val="22"/>
                        <w:szCs w:val="22"/>
                      </w:rPr>
                      <w:t>OFFICIAL SENSITIVE</w:t>
                    </w:r>
                  </w:p>
                </w:txbxContent>
              </v:textbox>
              <w10:wrap anchorx="page" anchory="page"/>
            </v:shape>
          </w:pict>
        </mc:Fallback>
      </mc:AlternateContent>
    </w:r>
    <w:r w:rsidR="00CB70B1">
      <w:rPr>
        <w:rFonts w:ascii="HelveticaNeueLT Std Med" w:hAnsi="HelveticaNeueLT Std Med"/>
        <w:noProof/>
        <w:color w:val="C3E682"/>
        <w:sz w:val="56"/>
        <w:szCs w:val="56"/>
      </w:rPr>
      <w:drawing>
        <wp:anchor distT="0" distB="0" distL="114300" distR="114300" simplePos="0" relativeHeight="251658244" behindDoc="1" locked="0" layoutInCell="1" allowOverlap="1" wp14:anchorId="716DF112" wp14:editId="273651AA">
          <wp:simplePos x="0" y="0"/>
          <wp:positionH relativeFrom="page">
            <wp:posOffset>-2540</wp:posOffset>
          </wp:positionH>
          <wp:positionV relativeFrom="paragraph">
            <wp:posOffset>-439420</wp:posOffset>
          </wp:positionV>
          <wp:extent cx="7555230" cy="10668037"/>
          <wp:effectExtent l="0" t="0" r="7620" b="0"/>
          <wp:wrapNone/>
          <wp:docPr id="998195793"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7555230" cy="10668037"/>
                  </a:xfrm>
                  <a:prstGeom prst="rect">
                    <a:avLst/>
                  </a:prstGeom>
                </pic:spPr>
              </pic:pic>
            </a:graphicData>
          </a:graphic>
          <wp14:sizeRelH relativeFrom="page">
            <wp14:pctWidth>0</wp14:pctWidth>
          </wp14:sizeRelH>
          <wp14:sizeRelV relativeFrom="page">
            <wp14:pctHeight>0</wp14:pctHeight>
          </wp14:sizeRelV>
        </wp:anchor>
      </w:drawing>
    </w:r>
    <w:r w:rsidR="001C13E9">
      <w:rPr>
        <w:rFonts w:ascii="HelveticaNeueLT Std Med" w:hAnsi="HelveticaNeueLT Std Med"/>
        <w:noProof/>
        <w:color w:val="C3E682"/>
        <w:sz w:val="56"/>
        <w:szCs w:val="56"/>
      </w:rPr>
      <w:drawing>
        <wp:anchor distT="0" distB="0" distL="114300" distR="114300" simplePos="0" relativeHeight="251658243" behindDoc="1" locked="0" layoutInCell="1" allowOverlap="1" wp14:anchorId="102191D9" wp14:editId="2E32D639">
          <wp:simplePos x="0" y="0"/>
          <wp:positionH relativeFrom="page">
            <wp:posOffset>0</wp:posOffset>
          </wp:positionH>
          <wp:positionV relativeFrom="paragraph">
            <wp:posOffset>1292134</wp:posOffset>
          </wp:positionV>
          <wp:extent cx="7556500" cy="7326086"/>
          <wp:effectExtent l="0" t="0" r="6350" b="0"/>
          <wp:wrapNone/>
          <wp:docPr id="2134196201"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2">
                    <a:extLst>
                      <a:ext uri="{28A0092B-C50C-407E-A947-70E740481C1C}">
                        <a14:useLocalDpi xmlns:a14="http://schemas.microsoft.com/office/drawing/2010/main" val="0"/>
                      </a:ext>
                    </a:extLst>
                  </a:blip>
                  <a:srcRect t="16044" b="15182"/>
                  <a:stretch/>
                </pic:blipFill>
                <pic:spPr bwMode="auto">
                  <a:xfrm>
                    <a:off x="0" y="0"/>
                    <a:ext cx="7556500" cy="73260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462"/>
    <w:multiLevelType w:val="hybridMultilevel"/>
    <w:tmpl w:val="9AD8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B83"/>
    <w:multiLevelType w:val="hybridMultilevel"/>
    <w:tmpl w:val="885A456A"/>
    <w:lvl w:ilvl="0" w:tplc="466E79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8C1F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3075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6A2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1C78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4258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6BF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4FD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CEA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96690"/>
    <w:multiLevelType w:val="hybridMultilevel"/>
    <w:tmpl w:val="EC82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63D75"/>
    <w:multiLevelType w:val="hybridMultilevel"/>
    <w:tmpl w:val="061CB014"/>
    <w:lvl w:ilvl="0" w:tplc="2FC624B8">
      <w:numFmt w:val="bullet"/>
      <w:lvlText w:val="-"/>
      <w:lvlJc w:val="left"/>
      <w:pPr>
        <w:ind w:left="362" w:hanging="360"/>
      </w:pPr>
      <w:rPr>
        <w:rFonts w:ascii="Arial" w:eastAsia="Calibri" w:hAnsi="Arial" w:cs="Aria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4" w15:restartNumberingAfterBreak="0">
    <w:nsid w:val="10DE4255"/>
    <w:multiLevelType w:val="multilevel"/>
    <w:tmpl w:val="0C86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94BDC"/>
    <w:multiLevelType w:val="hybridMultilevel"/>
    <w:tmpl w:val="EFE49EF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14BC8"/>
    <w:multiLevelType w:val="hybridMultilevel"/>
    <w:tmpl w:val="0A944CD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 w15:restartNumberingAfterBreak="0">
    <w:nsid w:val="16377D4A"/>
    <w:multiLevelType w:val="hybridMultilevel"/>
    <w:tmpl w:val="E8664BD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B313B4"/>
    <w:multiLevelType w:val="hybridMultilevel"/>
    <w:tmpl w:val="33B65AEA"/>
    <w:lvl w:ilvl="0" w:tplc="2FC624B8">
      <w:numFmt w:val="bullet"/>
      <w:lvlText w:val="-"/>
      <w:lvlJc w:val="left"/>
      <w:pPr>
        <w:ind w:left="36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F56C1"/>
    <w:multiLevelType w:val="hybridMultilevel"/>
    <w:tmpl w:val="06CAAE18"/>
    <w:lvl w:ilvl="0" w:tplc="4266D0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C3E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44FF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5280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462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2668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0044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7665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6EA9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727013"/>
    <w:multiLevelType w:val="hybridMultilevel"/>
    <w:tmpl w:val="D1961A8E"/>
    <w:lvl w:ilvl="0" w:tplc="2FDEBD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6EF7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AE4C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C49A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F60C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3A08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9CA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4F6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AC2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385650"/>
    <w:multiLevelType w:val="hybridMultilevel"/>
    <w:tmpl w:val="244C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42917"/>
    <w:multiLevelType w:val="hybridMultilevel"/>
    <w:tmpl w:val="2D9C3D5E"/>
    <w:lvl w:ilvl="0" w:tplc="CED8CB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B022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1819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A4BB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88A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D6DD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6CD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CEFD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5A99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010B10"/>
    <w:multiLevelType w:val="hybridMultilevel"/>
    <w:tmpl w:val="13B6894C"/>
    <w:lvl w:ilvl="0" w:tplc="AE207708">
      <w:start w:val="1"/>
      <w:numFmt w:val="bullet"/>
      <w:lvlText w:val="•"/>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D6D20C">
      <w:start w:val="1"/>
      <w:numFmt w:val="bullet"/>
      <w:lvlText w:val="o"/>
      <w:lvlJc w:val="left"/>
      <w:pPr>
        <w:ind w:left="1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4A79DE">
      <w:start w:val="1"/>
      <w:numFmt w:val="bullet"/>
      <w:lvlText w:val="▪"/>
      <w:lvlJc w:val="left"/>
      <w:pPr>
        <w:ind w:left="2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EC9124">
      <w:start w:val="1"/>
      <w:numFmt w:val="bullet"/>
      <w:lvlText w:val="•"/>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DAB3EA">
      <w:start w:val="1"/>
      <w:numFmt w:val="bullet"/>
      <w:lvlText w:val="o"/>
      <w:lvlJc w:val="left"/>
      <w:pPr>
        <w:ind w:left="4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68BD08">
      <w:start w:val="1"/>
      <w:numFmt w:val="bullet"/>
      <w:lvlText w:val="▪"/>
      <w:lvlJc w:val="left"/>
      <w:pPr>
        <w:ind w:left="4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6AED0E">
      <w:start w:val="1"/>
      <w:numFmt w:val="bullet"/>
      <w:lvlText w:val="•"/>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4E60AA">
      <w:start w:val="1"/>
      <w:numFmt w:val="bullet"/>
      <w:lvlText w:val="o"/>
      <w:lvlJc w:val="left"/>
      <w:pPr>
        <w:ind w:left="6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CA7B10">
      <w:start w:val="1"/>
      <w:numFmt w:val="bullet"/>
      <w:lvlText w:val="▪"/>
      <w:lvlJc w:val="left"/>
      <w:pPr>
        <w:ind w:left="6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D46CCF"/>
    <w:multiLevelType w:val="hybridMultilevel"/>
    <w:tmpl w:val="0F6AD1EE"/>
    <w:lvl w:ilvl="0" w:tplc="33D8721C">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A0F53C">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065392">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007D76">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C8C14">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2E721E">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946A24">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0A9ED0">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8296D0">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C1BA8"/>
    <w:multiLevelType w:val="hybridMultilevel"/>
    <w:tmpl w:val="C5526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5494F"/>
    <w:multiLevelType w:val="hybridMultilevel"/>
    <w:tmpl w:val="3FA89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4387B1F"/>
    <w:multiLevelType w:val="hybridMultilevel"/>
    <w:tmpl w:val="66C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1477A"/>
    <w:multiLevelType w:val="hybridMultilevel"/>
    <w:tmpl w:val="97FE85F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9" w15:restartNumberingAfterBreak="0">
    <w:nsid w:val="4FCF0226"/>
    <w:multiLevelType w:val="hybridMultilevel"/>
    <w:tmpl w:val="0F9C580C"/>
    <w:lvl w:ilvl="0" w:tplc="389C3F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ACD80">
      <w:start w:val="1"/>
      <w:numFmt w:val="bullet"/>
      <w:lvlText w:val="o"/>
      <w:lvlJc w:val="left"/>
      <w:pPr>
        <w:ind w:left="1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CD1A8">
      <w:start w:val="1"/>
      <w:numFmt w:val="bullet"/>
      <w:lvlText w:val="▪"/>
      <w:lvlJc w:val="left"/>
      <w:pPr>
        <w:ind w:left="2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42A5DC">
      <w:start w:val="1"/>
      <w:numFmt w:val="bullet"/>
      <w:lvlText w:val="•"/>
      <w:lvlJc w:val="left"/>
      <w:pPr>
        <w:ind w:left="2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EED16">
      <w:start w:val="1"/>
      <w:numFmt w:val="bullet"/>
      <w:lvlText w:val="o"/>
      <w:lvlJc w:val="left"/>
      <w:pPr>
        <w:ind w:left="3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80998C">
      <w:start w:val="1"/>
      <w:numFmt w:val="bullet"/>
      <w:lvlText w:val="▪"/>
      <w:lvlJc w:val="left"/>
      <w:pPr>
        <w:ind w:left="4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60C84">
      <w:start w:val="1"/>
      <w:numFmt w:val="bullet"/>
      <w:lvlText w:val="•"/>
      <w:lvlJc w:val="left"/>
      <w:pPr>
        <w:ind w:left="5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AC73A">
      <w:start w:val="1"/>
      <w:numFmt w:val="bullet"/>
      <w:lvlText w:val="o"/>
      <w:lvlJc w:val="left"/>
      <w:pPr>
        <w:ind w:left="5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20C6CA">
      <w:start w:val="1"/>
      <w:numFmt w:val="bullet"/>
      <w:lvlText w:val="▪"/>
      <w:lvlJc w:val="left"/>
      <w:pPr>
        <w:ind w:left="6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C01D18"/>
    <w:multiLevelType w:val="hybridMultilevel"/>
    <w:tmpl w:val="C382FC64"/>
    <w:lvl w:ilvl="0" w:tplc="0D502B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E2C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688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5082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429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CDC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29D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90CB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C24C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EF3151"/>
    <w:multiLevelType w:val="hybridMultilevel"/>
    <w:tmpl w:val="5A6A0DFE"/>
    <w:lvl w:ilvl="0" w:tplc="1C564F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013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4C4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D098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3A03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4DB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A654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8F2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6CB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861D63"/>
    <w:multiLevelType w:val="hybridMultilevel"/>
    <w:tmpl w:val="1F848DB8"/>
    <w:lvl w:ilvl="0" w:tplc="44F027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B072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A29A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479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E265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EB0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62E5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50E0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6E93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464736"/>
    <w:multiLevelType w:val="hybridMultilevel"/>
    <w:tmpl w:val="34004D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4" w15:restartNumberingAfterBreak="0">
    <w:nsid w:val="571A35CB"/>
    <w:multiLevelType w:val="hybridMultilevel"/>
    <w:tmpl w:val="C504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14C3C"/>
    <w:multiLevelType w:val="hybridMultilevel"/>
    <w:tmpl w:val="AF96B1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97D33"/>
    <w:multiLevelType w:val="multilevel"/>
    <w:tmpl w:val="D53C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30D2"/>
    <w:multiLevelType w:val="hybridMultilevel"/>
    <w:tmpl w:val="3FFAEE0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719C4382"/>
    <w:multiLevelType w:val="hybridMultilevel"/>
    <w:tmpl w:val="DE10A980"/>
    <w:lvl w:ilvl="0" w:tplc="42008144">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D02BB8">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BC7890">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AAAB70">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EC00FA">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7E94C4">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04C78">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E8AD68">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2A544C">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4646C4E"/>
    <w:multiLevelType w:val="hybridMultilevel"/>
    <w:tmpl w:val="75EA3778"/>
    <w:lvl w:ilvl="0" w:tplc="413E6F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DA68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DA10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6F5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BCB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FE90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5667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487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8209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215643"/>
    <w:multiLevelType w:val="hybridMultilevel"/>
    <w:tmpl w:val="1C100C64"/>
    <w:lvl w:ilvl="0" w:tplc="08090003">
      <w:start w:val="1"/>
      <w:numFmt w:val="bullet"/>
      <w:lvlText w:val="o"/>
      <w:lvlJc w:val="left"/>
      <w:pPr>
        <w:ind w:left="371" w:hanging="360"/>
      </w:pPr>
      <w:rPr>
        <w:rFonts w:ascii="Courier New" w:hAnsi="Courier New" w:cs="Courier New"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1" w15:restartNumberingAfterBreak="0">
    <w:nsid w:val="76F55725"/>
    <w:multiLevelType w:val="hybridMultilevel"/>
    <w:tmpl w:val="F6A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062B9"/>
    <w:multiLevelType w:val="hybridMultilevel"/>
    <w:tmpl w:val="3702D6F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3" w15:restartNumberingAfterBreak="0">
    <w:nsid w:val="7E107576"/>
    <w:multiLevelType w:val="hybridMultilevel"/>
    <w:tmpl w:val="01961A5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4" w15:restartNumberingAfterBreak="0">
    <w:nsid w:val="7EF84670"/>
    <w:multiLevelType w:val="hybridMultilevel"/>
    <w:tmpl w:val="DC040512"/>
    <w:lvl w:ilvl="0" w:tplc="0110FA2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C120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22F32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2CA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E746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A87AA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B4EF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561E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2E813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06610038">
    <w:abstractNumId w:val="16"/>
  </w:num>
  <w:num w:numId="2" w16cid:durableId="438331655">
    <w:abstractNumId w:val="0"/>
  </w:num>
  <w:num w:numId="3" w16cid:durableId="1446851086">
    <w:abstractNumId w:val="2"/>
  </w:num>
  <w:num w:numId="4" w16cid:durableId="1274555327">
    <w:abstractNumId w:val="31"/>
  </w:num>
  <w:num w:numId="5" w16cid:durableId="295108662">
    <w:abstractNumId w:val="24"/>
  </w:num>
  <w:num w:numId="6" w16cid:durableId="153378763">
    <w:abstractNumId w:val="11"/>
  </w:num>
  <w:num w:numId="7" w16cid:durableId="534778472">
    <w:abstractNumId w:val="28"/>
  </w:num>
  <w:num w:numId="8" w16cid:durableId="696539267">
    <w:abstractNumId w:val="14"/>
  </w:num>
  <w:num w:numId="9" w16cid:durableId="1183939064">
    <w:abstractNumId w:val="9"/>
  </w:num>
  <w:num w:numId="10" w16cid:durableId="111678145">
    <w:abstractNumId w:val="10"/>
  </w:num>
  <w:num w:numId="11" w16cid:durableId="1519855526">
    <w:abstractNumId w:val="20"/>
  </w:num>
  <w:num w:numId="12" w16cid:durableId="1143499201">
    <w:abstractNumId w:val="29"/>
  </w:num>
  <w:num w:numId="13" w16cid:durableId="991982594">
    <w:abstractNumId w:val="19"/>
  </w:num>
  <w:num w:numId="14" w16cid:durableId="128130757">
    <w:abstractNumId w:val="22"/>
  </w:num>
  <w:num w:numId="15" w16cid:durableId="267739345">
    <w:abstractNumId w:val="12"/>
  </w:num>
  <w:num w:numId="16" w16cid:durableId="478960855">
    <w:abstractNumId w:val="21"/>
  </w:num>
  <w:num w:numId="17" w16cid:durableId="1832789479">
    <w:abstractNumId w:val="34"/>
  </w:num>
  <w:num w:numId="18" w16cid:durableId="564296366">
    <w:abstractNumId w:val="1"/>
  </w:num>
  <w:num w:numId="19" w16cid:durableId="2072926228">
    <w:abstractNumId w:val="13"/>
  </w:num>
  <w:num w:numId="20" w16cid:durableId="1571308661">
    <w:abstractNumId w:val="33"/>
  </w:num>
  <w:num w:numId="21" w16cid:durableId="1804619814">
    <w:abstractNumId w:val="26"/>
  </w:num>
  <w:num w:numId="22" w16cid:durableId="694959779">
    <w:abstractNumId w:val="17"/>
  </w:num>
  <w:num w:numId="23" w16cid:durableId="1332754379">
    <w:abstractNumId w:val="3"/>
  </w:num>
  <w:num w:numId="24" w16cid:durableId="627320995">
    <w:abstractNumId w:val="8"/>
  </w:num>
  <w:num w:numId="25" w16cid:durableId="429664108">
    <w:abstractNumId w:val="7"/>
  </w:num>
  <w:num w:numId="26" w16cid:durableId="386271033">
    <w:abstractNumId w:val="18"/>
  </w:num>
  <w:num w:numId="27" w16cid:durableId="1359429363">
    <w:abstractNumId w:val="15"/>
  </w:num>
  <w:num w:numId="28" w16cid:durableId="355349133">
    <w:abstractNumId w:val="4"/>
  </w:num>
  <w:num w:numId="29" w16cid:durableId="951941998">
    <w:abstractNumId w:val="32"/>
  </w:num>
  <w:num w:numId="30" w16cid:durableId="2119522789">
    <w:abstractNumId w:val="27"/>
  </w:num>
  <w:num w:numId="31" w16cid:durableId="1622808435">
    <w:abstractNumId w:val="23"/>
  </w:num>
  <w:num w:numId="32" w16cid:durableId="983042131">
    <w:abstractNumId w:val="6"/>
  </w:num>
  <w:num w:numId="33" w16cid:durableId="168297969">
    <w:abstractNumId w:val="5"/>
  </w:num>
  <w:num w:numId="34" w16cid:durableId="1939606100">
    <w:abstractNumId w:val="30"/>
  </w:num>
  <w:num w:numId="35" w16cid:durableId="15383481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SL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74"/>
    <w:rsid w:val="00003250"/>
    <w:rsid w:val="00005920"/>
    <w:rsid w:val="00005E18"/>
    <w:rsid w:val="000111F2"/>
    <w:rsid w:val="000120AD"/>
    <w:rsid w:val="0001319E"/>
    <w:rsid w:val="00014C2D"/>
    <w:rsid w:val="0001651C"/>
    <w:rsid w:val="000169B9"/>
    <w:rsid w:val="0002220B"/>
    <w:rsid w:val="00022A7A"/>
    <w:rsid w:val="00032A5E"/>
    <w:rsid w:val="00034BEF"/>
    <w:rsid w:val="00034DFD"/>
    <w:rsid w:val="00035102"/>
    <w:rsid w:val="000368DA"/>
    <w:rsid w:val="0003742A"/>
    <w:rsid w:val="0004285A"/>
    <w:rsid w:val="00044B24"/>
    <w:rsid w:val="00045F88"/>
    <w:rsid w:val="00052298"/>
    <w:rsid w:val="00053485"/>
    <w:rsid w:val="00054892"/>
    <w:rsid w:val="00054F01"/>
    <w:rsid w:val="00055D8C"/>
    <w:rsid w:val="00064F05"/>
    <w:rsid w:val="000668A4"/>
    <w:rsid w:val="00073D3C"/>
    <w:rsid w:val="00077269"/>
    <w:rsid w:val="000801C9"/>
    <w:rsid w:val="000806FF"/>
    <w:rsid w:val="0008474F"/>
    <w:rsid w:val="00087320"/>
    <w:rsid w:val="0008782F"/>
    <w:rsid w:val="00090178"/>
    <w:rsid w:val="00095261"/>
    <w:rsid w:val="000A28EA"/>
    <w:rsid w:val="000A4AE5"/>
    <w:rsid w:val="000A5E70"/>
    <w:rsid w:val="000A69C7"/>
    <w:rsid w:val="000A7821"/>
    <w:rsid w:val="000B0642"/>
    <w:rsid w:val="000B164F"/>
    <w:rsid w:val="000B16FB"/>
    <w:rsid w:val="000B2331"/>
    <w:rsid w:val="000B2896"/>
    <w:rsid w:val="000B2FC7"/>
    <w:rsid w:val="000B5D48"/>
    <w:rsid w:val="000C1C32"/>
    <w:rsid w:val="000C2BFC"/>
    <w:rsid w:val="000C38F6"/>
    <w:rsid w:val="000C426E"/>
    <w:rsid w:val="000C4B0B"/>
    <w:rsid w:val="000C5D60"/>
    <w:rsid w:val="000D3EA8"/>
    <w:rsid w:val="000D59E8"/>
    <w:rsid w:val="000D6D76"/>
    <w:rsid w:val="000E2823"/>
    <w:rsid w:val="000E5F61"/>
    <w:rsid w:val="000E6B76"/>
    <w:rsid w:val="000F005C"/>
    <w:rsid w:val="000F18BD"/>
    <w:rsid w:val="000F1DD9"/>
    <w:rsid w:val="000F402B"/>
    <w:rsid w:val="00101E2B"/>
    <w:rsid w:val="00105319"/>
    <w:rsid w:val="001108D8"/>
    <w:rsid w:val="0011106F"/>
    <w:rsid w:val="0011272A"/>
    <w:rsid w:val="001138AF"/>
    <w:rsid w:val="00116534"/>
    <w:rsid w:val="001177F8"/>
    <w:rsid w:val="00120583"/>
    <w:rsid w:val="001209FB"/>
    <w:rsid w:val="00120A13"/>
    <w:rsid w:val="0012171B"/>
    <w:rsid w:val="00123918"/>
    <w:rsid w:val="00126588"/>
    <w:rsid w:val="00126E0E"/>
    <w:rsid w:val="00127010"/>
    <w:rsid w:val="001312D7"/>
    <w:rsid w:val="00131A0F"/>
    <w:rsid w:val="0013244A"/>
    <w:rsid w:val="00133976"/>
    <w:rsid w:val="00133A8F"/>
    <w:rsid w:val="00133C38"/>
    <w:rsid w:val="00136D41"/>
    <w:rsid w:val="00142CE6"/>
    <w:rsid w:val="00151183"/>
    <w:rsid w:val="001532D4"/>
    <w:rsid w:val="001633A3"/>
    <w:rsid w:val="00165C11"/>
    <w:rsid w:val="0016673B"/>
    <w:rsid w:val="00166B13"/>
    <w:rsid w:val="00172E20"/>
    <w:rsid w:val="00173DAF"/>
    <w:rsid w:val="00174F6A"/>
    <w:rsid w:val="00175030"/>
    <w:rsid w:val="00176BBC"/>
    <w:rsid w:val="001818E8"/>
    <w:rsid w:val="001823A9"/>
    <w:rsid w:val="0018314B"/>
    <w:rsid w:val="00185B97"/>
    <w:rsid w:val="001870AD"/>
    <w:rsid w:val="001870C5"/>
    <w:rsid w:val="001908BF"/>
    <w:rsid w:val="00191545"/>
    <w:rsid w:val="0019233F"/>
    <w:rsid w:val="001923EA"/>
    <w:rsid w:val="00193CA4"/>
    <w:rsid w:val="001A3F41"/>
    <w:rsid w:val="001A7C56"/>
    <w:rsid w:val="001B6125"/>
    <w:rsid w:val="001C01BC"/>
    <w:rsid w:val="001C13E9"/>
    <w:rsid w:val="001C6FAC"/>
    <w:rsid w:val="001D1C24"/>
    <w:rsid w:val="001D2CF9"/>
    <w:rsid w:val="001D6423"/>
    <w:rsid w:val="001D6725"/>
    <w:rsid w:val="001D6F2D"/>
    <w:rsid w:val="001E1B13"/>
    <w:rsid w:val="001E1FDD"/>
    <w:rsid w:val="001E3407"/>
    <w:rsid w:val="001E6176"/>
    <w:rsid w:val="001E69DE"/>
    <w:rsid w:val="001F050E"/>
    <w:rsid w:val="001F35D1"/>
    <w:rsid w:val="001F46AC"/>
    <w:rsid w:val="001F4F5E"/>
    <w:rsid w:val="001F6D03"/>
    <w:rsid w:val="001F7C88"/>
    <w:rsid w:val="0020650A"/>
    <w:rsid w:val="00207D54"/>
    <w:rsid w:val="00210152"/>
    <w:rsid w:val="002103AE"/>
    <w:rsid w:val="002108AF"/>
    <w:rsid w:val="00210B13"/>
    <w:rsid w:val="00211632"/>
    <w:rsid w:val="00212253"/>
    <w:rsid w:val="002126AB"/>
    <w:rsid w:val="002206A1"/>
    <w:rsid w:val="00223251"/>
    <w:rsid w:val="00223C91"/>
    <w:rsid w:val="00225225"/>
    <w:rsid w:val="00225608"/>
    <w:rsid w:val="0022653A"/>
    <w:rsid w:val="00227C43"/>
    <w:rsid w:val="0023226D"/>
    <w:rsid w:val="00234465"/>
    <w:rsid w:val="00234D87"/>
    <w:rsid w:val="00237C64"/>
    <w:rsid w:val="002434C9"/>
    <w:rsid w:val="00245834"/>
    <w:rsid w:val="00246A19"/>
    <w:rsid w:val="00247273"/>
    <w:rsid w:val="0025164B"/>
    <w:rsid w:val="00251FC4"/>
    <w:rsid w:val="00262081"/>
    <w:rsid w:val="00265995"/>
    <w:rsid w:val="00266475"/>
    <w:rsid w:val="0026662A"/>
    <w:rsid w:val="00266CC3"/>
    <w:rsid w:val="002672D1"/>
    <w:rsid w:val="002753BE"/>
    <w:rsid w:val="00276F8D"/>
    <w:rsid w:val="002806F7"/>
    <w:rsid w:val="00280C92"/>
    <w:rsid w:val="00284A71"/>
    <w:rsid w:val="00285CE8"/>
    <w:rsid w:val="00285FB8"/>
    <w:rsid w:val="00292218"/>
    <w:rsid w:val="00292E24"/>
    <w:rsid w:val="00296600"/>
    <w:rsid w:val="00297DF1"/>
    <w:rsid w:val="002A009A"/>
    <w:rsid w:val="002A31A5"/>
    <w:rsid w:val="002A53AB"/>
    <w:rsid w:val="002B1F55"/>
    <w:rsid w:val="002B71B8"/>
    <w:rsid w:val="002B7E2D"/>
    <w:rsid w:val="002C04D4"/>
    <w:rsid w:val="002C7381"/>
    <w:rsid w:val="002C7D4C"/>
    <w:rsid w:val="002C7F24"/>
    <w:rsid w:val="002D02A8"/>
    <w:rsid w:val="002D20BB"/>
    <w:rsid w:val="002D2B65"/>
    <w:rsid w:val="002D68A4"/>
    <w:rsid w:val="002D6B73"/>
    <w:rsid w:val="002E1E14"/>
    <w:rsid w:val="002E2D8F"/>
    <w:rsid w:val="002E49D6"/>
    <w:rsid w:val="002E4B54"/>
    <w:rsid w:val="002F20D9"/>
    <w:rsid w:val="002F2533"/>
    <w:rsid w:val="002F27CC"/>
    <w:rsid w:val="002F4AE7"/>
    <w:rsid w:val="002F77C3"/>
    <w:rsid w:val="002F7D2F"/>
    <w:rsid w:val="00300956"/>
    <w:rsid w:val="00303D9E"/>
    <w:rsid w:val="003053F3"/>
    <w:rsid w:val="00306CB0"/>
    <w:rsid w:val="003114C5"/>
    <w:rsid w:val="00311FCC"/>
    <w:rsid w:val="00316A32"/>
    <w:rsid w:val="00316C7D"/>
    <w:rsid w:val="003177F7"/>
    <w:rsid w:val="00320022"/>
    <w:rsid w:val="00320257"/>
    <w:rsid w:val="00321D28"/>
    <w:rsid w:val="003268A9"/>
    <w:rsid w:val="003273B5"/>
    <w:rsid w:val="00332088"/>
    <w:rsid w:val="003339A8"/>
    <w:rsid w:val="00336C45"/>
    <w:rsid w:val="003379C0"/>
    <w:rsid w:val="0034082E"/>
    <w:rsid w:val="003454B4"/>
    <w:rsid w:val="003528EA"/>
    <w:rsid w:val="003536A4"/>
    <w:rsid w:val="00353A12"/>
    <w:rsid w:val="003549EB"/>
    <w:rsid w:val="00357FC5"/>
    <w:rsid w:val="00361930"/>
    <w:rsid w:val="00361C24"/>
    <w:rsid w:val="00362D04"/>
    <w:rsid w:val="00363564"/>
    <w:rsid w:val="00372DCE"/>
    <w:rsid w:val="00374BB9"/>
    <w:rsid w:val="0037667C"/>
    <w:rsid w:val="003769BD"/>
    <w:rsid w:val="003769DF"/>
    <w:rsid w:val="00377216"/>
    <w:rsid w:val="00377735"/>
    <w:rsid w:val="00377DE0"/>
    <w:rsid w:val="003804B8"/>
    <w:rsid w:val="003806A4"/>
    <w:rsid w:val="003813E7"/>
    <w:rsid w:val="003821F7"/>
    <w:rsid w:val="0038236B"/>
    <w:rsid w:val="00382A15"/>
    <w:rsid w:val="00392238"/>
    <w:rsid w:val="003928EB"/>
    <w:rsid w:val="0039358A"/>
    <w:rsid w:val="0039399D"/>
    <w:rsid w:val="003963A2"/>
    <w:rsid w:val="003A3EEA"/>
    <w:rsid w:val="003A4CFC"/>
    <w:rsid w:val="003A60C3"/>
    <w:rsid w:val="003A75DD"/>
    <w:rsid w:val="003A7AC4"/>
    <w:rsid w:val="003B3FAF"/>
    <w:rsid w:val="003B58DB"/>
    <w:rsid w:val="003B74B8"/>
    <w:rsid w:val="003C02C9"/>
    <w:rsid w:val="003C0414"/>
    <w:rsid w:val="003C4D77"/>
    <w:rsid w:val="003C7333"/>
    <w:rsid w:val="003D03A2"/>
    <w:rsid w:val="003D0BD3"/>
    <w:rsid w:val="003D0EC9"/>
    <w:rsid w:val="003D3D91"/>
    <w:rsid w:val="003D4F9D"/>
    <w:rsid w:val="003D54D9"/>
    <w:rsid w:val="003E0BE7"/>
    <w:rsid w:val="003E2AF7"/>
    <w:rsid w:val="003E4DB1"/>
    <w:rsid w:val="003E586D"/>
    <w:rsid w:val="003F0383"/>
    <w:rsid w:val="003F0F30"/>
    <w:rsid w:val="004021CF"/>
    <w:rsid w:val="004030DB"/>
    <w:rsid w:val="00403280"/>
    <w:rsid w:val="0040487B"/>
    <w:rsid w:val="00404E48"/>
    <w:rsid w:val="00405C8D"/>
    <w:rsid w:val="00406133"/>
    <w:rsid w:val="0040661D"/>
    <w:rsid w:val="00407D85"/>
    <w:rsid w:val="00412B1A"/>
    <w:rsid w:val="004143B0"/>
    <w:rsid w:val="00414F50"/>
    <w:rsid w:val="00417BB4"/>
    <w:rsid w:val="0042039F"/>
    <w:rsid w:val="00422AED"/>
    <w:rsid w:val="004241AE"/>
    <w:rsid w:val="00425333"/>
    <w:rsid w:val="004306DF"/>
    <w:rsid w:val="00437EA2"/>
    <w:rsid w:val="004440FF"/>
    <w:rsid w:val="00447DC4"/>
    <w:rsid w:val="00447EC1"/>
    <w:rsid w:val="0045463F"/>
    <w:rsid w:val="00454CC9"/>
    <w:rsid w:val="00456BA5"/>
    <w:rsid w:val="004607CF"/>
    <w:rsid w:val="0046086B"/>
    <w:rsid w:val="00460EEE"/>
    <w:rsid w:val="0046194E"/>
    <w:rsid w:val="00467875"/>
    <w:rsid w:val="00471260"/>
    <w:rsid w:val="00472507"/>
    <w:rsid w:val="004801AB"/>
    <w:rsid w:val="00484DAF"/>
    <w:rsid w:val="00494637"/>
    <w:rsid w:val="00496C1E"/>
    <w:rsid w:val="00496D93"/>
    <w:rsid w:val="004A2893"/>
    <w:rsid w:val="004A3C0C"/>
    <w:rsid w:val="004A4864"/>
    <w:rsid w:val="004A7D4A"/>
    <w:rsid w:val="004B0758"/>
    <w:rsid w:val="004B0E81"/>
    <w:rsid w:val="004C10F6"/>
    <w:rsid w:val="004C169C"/>
    <w:rsid w:val="004C342E"/>
    <w:rsid w:val="004C7B4F"/>
    <w:rsid w:val="004D1529"/>
    <w:rsid w:val="004D1657"/>
    <w:rsid w:val="004D2925"/>
    <w:rsid w:val="004E5D02"/>
    <w:rsid w:val="004E6669"/>
    <w:rsid w:val="004F2E06"/>
    <w:rsid w:val="004F4382"/>
    <w:rsid w:val="004F45C7"/>
    <w:rsid w:val="004F595A"/>
    <w:rsid w:val="00500114"/>
    <w:rsid w:val="0050087D"/>
    <w:rsid w:val="00502648"/>
    <w:rsid w:val="0050390D"/>
    <w:rsid w:val="005061D3"/>
    <w:rsid w:val="00506379"/>
    <w:rsid w:val="0050664F"/>
    <w:rsid w:val="00506F02"/>
    <w:rsid w:val="0050721E"/>
    <w:rsid w:val="0050756A"/>
    <w:rsid w:val="005076C9"/>
    <w:rsid w:val="005102C3"/>
    <w:rsid w:val="00510BEF"/>
    <w:rsid w:val="00511284"/>
    <w:rsid w:val="00514696"/>
    <w:rsid w:val="00514968"/>
    <w:rsid w:val="005162D3"/>
    <w:rsid w:val="00516BCB"/>
    <w:rsid w:val="00520918"/>
    <w:rsid w:val="00521AE9"/>
    <w:rsid w:val="00521FC7"/>
    <w:rsid w:val="0052224B"/>
    <w:rsid w:val="005225D0"/>
    <w:rsid w:val="00525998"/>
    <w:rsid w:val="0052614D"/>
    <w:rsid w:val="00530B8D"/>
    <w:rsid w:val="0053150B"/>
    <w:rsid w:val="00535772"/>
    <w:rsid w:val="0053599D"/>
    <w:rsid w:val="00535FC9"/>
    <w:rsid w:val="00537AFF"/>
    <w:rsid w:val="0054161D"/>
    <w:rsid w:val="005421CB"/>
    <w:rsid w:val="00542E74"/>
    <w:rsid w:val="00543A62"/>
    <w:rsid w:val="00547543"/>
    <w:rsid w:val="00547851"/>
    <w:rsid w:val="00547E98"/>
    <w:rsid w:val="00557690"/>
    <w:rsid w:val="005641FB"/>
    <w:rsid w:val="00565AB3"/>
    <w:rsid w:val="0056602B"/>
    <w:rsid w:val="00567076"/>
    <w:rsid w:val="00567522"/>
    <w:rsid w:val="00567AC3"/>
    <w:rsid w:val="00570FFE"/>
    <w:rsid w:val="005726D6"/>
    <w:rsid w:val="00572761"/>
    <w:rsid w:val="00573C0F"/>
    <w:rsid w:val="005839B9"/>
    <w:rsid w:val="005845E4"/>
    <w:rsid w:val="00585489"/>
    <w:rsid w:val="005879F7"/>
    <w:rsid w:val="005944A3"/>
    <w:rsid w:val="005A204C"/>
    <w:rsid w:val="005A3B17"/>
    <w:rsid w:val="005A3E64"/>
    <w:rsid w:val="005A64F7"/>
    <w:rsid w:val="005A6BE8"/>
    <w:rsid w:val="005A718E"/>
    <w:rsid w:val="005B0268"/>
    <w:rsid w:val="005B0A36"/>
    <w:rsid w:val="005B38E2"/>
    <w:rsid w:val="005C31B5"/>
    <w:rsid w:val="005C3669"/>
    <w:rsid w:val="005C37AF"/>
    <w:rsid w:val="005C4594"/>
    <w:rsid w:val="005C51CE"/>
    <w:rsid w:val="005D476E"/>
    <w:rsid w:val="005D6097"/>
    <w:rsid w:val="005D6C1B"/>
    <w:rsid w:val="005E2EDF"/>
    <w:rsid w:val="005E3646"/>
    <w:rsid w:val="005E48A7"/>
    <w:rsid w:val="005E75A1"/>
    <w:rsid w:val="005F0A52"/>
    <w:rsid w:val="005F0E7A"/>
    <w:rsid w:val="005F15A3"/>
    <w:rsid w:val="005F6F1B"/>
    <w:rsid w:val="00602A42"/>
    <w:rsid w:val="00605EEA"/>
    <w:rsid w:val="00607358"/>
    <w:rsid w:val="006107A8"/>
    <w:rsid w:val="00612F5C"/>
    <w:rsid w:val="00616534"/>
    <w:rsid w:val="0061752B"/>
    <w:rsid w:val="00622F7C"/>
    <w:rsid w:val="006256F1"/>
    <w:rsid w:val="00630BD9"/>
    <w:rsid w:val="00630FF9"/>
    <w:rsid w:val="00631E69"/>
    <w:rsid w:val="00632F54"/>
    <w:rsid w:val="00633CC9"/>
    <w:rsid w:val="00640135"/>
    <w:rsid w:val="00640C30"/>
    <w:rsid w:val="00643155"/>
    <w:rsid w:val="006434FD"/>
    <w:rsid w:val="00646C63"/>
    <w:rsid w:val="006646BB"/>
    <w:rsid w:val="006651FB"/>
    <w:rsid w:val="00665CF2"/>
    <w:rsid w:val="00667001"/>
    <w:rsid w:val="00667046"/>
    <w:rsid w:val="006702BA"/>
    <w:rsid w:val="006729C6"/>
    <w:rsid w:val="0067590D"/>
    <w:rsid w:val="0067668D"/>
    <w:rsid w:val="00677784"/>
    <w:rsid w:val="00680FE2"/>
    <w:rsid w:val="006848AE"/>
    <w:rsid w:val="00684D74"/>
    <w:rsid w:val="0068529C"/>
    <w:rsid w:val="006908DC"/>
    <w:rsid w:val="0069216D"/>
    <w:rsid w:val="00694D50"/>
    <w:rsid w:val="006976CB"/>
    <w:rsid w:val="006A1C04"/>
    <w:rsid w:val="006A20DC"/>
    <w:rsid w:val="006A21BE"/>
    <w:rsid w:val="006A3B34"/>
    <w:rsid w:val="006B0630"/>
    <w:rsid w:val="006B0BEA"/>
    <w:rsid w:val="006B0C36"/>
    <w:rsid w:val="006C066F"/>
    <w:rsid w:val="006C3CCC"/>
    <w:rsid w:val="006C7BFF"/>
    <w:rsid w:val="006D1CAC"/>
    <w:rsid w:val="006D2C04"/>
    <w:rsid w:val="006D4660"/>
    <w:rsid w:val="006D64B5"/>
    <w:rsid w:val="006D6EBE"/>
    <w:rsid w:val="006D7397"/>
    <w:rsid w:val="006E0759"/>
    <w:rsid w:val="006E33BE"/>
    <w:rsid w:val="006E73EC"/>
    <w:rsid w:val="006E7441"/>
    <w:rsid w:val="006E7706"/>
    <w:rsid w:val="006E77CA"/>
    <w:rsid w:val="006F0E97"/>
    <w:rsid w:val="006F3E6A"/>
    <w:rsid w:val="00700D29"/>
    <w:rsid w:val="00703055"/>
    <w:rsid w:val="00706A20"/>
    <w:rsid w:val="007073B0"/>
    <w:rsid w:val="00711F16"/>
    <w:rsid w:val="00712538"/>
    <w:rsid w:val="00713A8F"/>
    <w:rsid w:val="007148AF"/>
    <w:rsid w:val="00716727"/>
    <w:rsid w:val="007169EB"/>
    <w:rsid w:val="00716AF1"/>
    <w:rsid w:val="00716F02"/>
    <w:rsid w:val="007229C2"/>
    <w:rsid w:val="00725C7C"/>
    <w:rsid w:val="00730DE8"/>
    <w:rsid w:val="00734C8D"/>
    <w:rsid w:val="007356E0"/>
    <w:rsid w:val="00740F62"/>
    <w:rsid w:val="00741249"/>
    <w:rsid w:val="00741D62"/>
    <w:rsid w:val="00742006"/>
    <w:rsid w:val="0074322B"/>
    <w:rsid w:val="00751B79"/>
    <w:rsid w:val="00752820"/>
    <w:rsid w:val="007537F5"/>
    <w:rsid w:val="00761E7A"/>
    <w:rsid w:val="00764DCB"/>
    <w:rsid w:val="00765373"/>
    <w:rsid w:val="00765EBE"/>
    <w:rsid w:val="00766229"/>
    <w:rsid w:val="00766D5A"/>
    <w:rsid w:val="00767BC6"/>
    <w:rsid w:val="0077128A"/>
    <w:rsid w:val="00771D7A"/>
    <w:rsid w:val="00773040"/>
    <w:rsid w:val="0077512A"/>
    <w:rsid w:val="00777C13"/>
    <w:rsid w:val="00785E5D"/>
    <w:rsid w:val="007863ED"/>
    <w:rsid w:val="00787786"/>
    <w:rsid w:val="00793B67"/>
    <w:rsid w:val="007A0C16"/>
    <w:rsid w:val="007A1A65"/>
    <w:rsid w:val="007A28B0"/>
    <w:rsid w:val="007A5B6D"/>
    <w:rsid w:val="007A5D2F"/>
    <w:rsid w:val="007A652C"/>
    <w:rsid w:val="007A65F8"/>
    <w:rsid w:val="007B0281"/>
    <w:rsid w:val="007B0716"/>
    <w:rsid w:val="007B7072"/>
    <w:rsid w:val="007C202E"/>
    <w:rsid w:val="007C72F9"/>
    <w:rsid w:val="007D375E"/>
    <w:rsid w:val="007D4251"/>
    <w:rsid w:val="007D563C"/>
    <w:rsid w:val="007D7AF8"/>
    <w:rsid w:val="007E13E9"/>
    <w:rsid w:val="007E31D2"/>
    <w:rsid w:val="007F028F"/>
    <w:rsid w:val="007F0E95"/>
    <w:rsid w:val="00802023"/>
    <w:rsid w:val="008021E9"/>
    <w:rsid w:val="0081036C"/>
    <w:rsid w:val="008116C5"/>
    <w:rsid w:val="0081797F"/>
    <w:rsid w:val="00817D08"/>
    <w:rsid w:val="008206C2"/>
    <w:rsid w:val="008235C7"/>
    <w:rsid w:val="0082374C"/>
    <w:rsid w:val="00825678"/>
    <w:rsid w:val="00826191"/>
    <w:rsid w:val="00826DF8"/>
    <w:rsid w:val="00833E04"/>
    <w:rsid w:val="008358B4"/>
    <w:rsid w:val="008407DF"/>
    <w:rsid w:val="00841253"/>
    <w:rsid w:val="00841BD9"/>
    <w:rsid w:val="00842837"/>
    <w:rsid w:val="00844A3A"/>
    <w:rsid w:val="00844C9B"/>
    <w:rsid w:val="00846367"/>
    <w:rsid w:val="00846394"/>
    <w:rsid w:val="00851D11"/>
    <w:rsid w:val="00854FA1"/>
    <w:rsid w:val="008552BC"/>
    <w:rsid w:val="00855EBF"/>
    <w:rsid w:val="0085639E"/>
    <w:rsid w:val="00860209"/>
    <w:rsid w:val="0086525F"/>
    <w:rsid w:val="008677CD"/>
    <w:rsid w:val="00870F74"/>
    <w:rsid w:val="00871E73"/>
    <w:rsid w:val="00874162"/>
    <w:rsid w:val="00874FE4"/>
    <w:rsid w:val="00876941"/>
    <w:rsid w:val="008772F2"/>
    <w:rsid w:val="00877F5F"/>
    <w:rsid w:val="008802EA"/>
    <w:rsid w:val="00880FBF"/>
    <w:rsid w:val="00882DCC"/>
    <w:rsid w:val="008850E2"/>
    <w:rsid w:val="008866EA"/>
    <w:rsid w:val="00892338"/>
    <w:rsid w:val="00893A2E"/>
    <w:rsid w:val="0089549B"/>
    <w:rsid w:val="008964E9"/>
    <w:rsid w:val="008A0343"/>
    <w:rsid w:val="008A1D6C"/>
    <w:rsid w:val="008A4BB7"/>
    <w:rsid w:val="008A61E8"/>
    <w:rsid w:val="008B31F0"/>
    <w:rsid w:val="008B38D9"/>
    <w:rsid w:val="008C08D4"/>
    <w:rsid w:val="008C0922"/>
    <w:rsid w:val="008C207E"/>
    <w:rsid w:val="008C62E9"/>
    <w:rsid w:val="008C7C26"/>
    <w:rsid w:val="008D1AD8"/>
    <w:rsid w:val="008D48C4"/>
    <w:rsid w:val="008D4E44"/>
    <w:rsid w:val="008D5F84"/>
    <w:rsid w:val="008E0ADA"/>
    <w:rsid w:val="008E3E26"/>
    <w:rsid w:val="008E5153"/>
    <w:rsid w:val="008E70BE"/>
    <w:rsid w:val="008E7C02"/>
    <w:rsid w:val="008F4321"/>
    <w:rsid w:val="00903195"/>
    <w:rsid w:val="0090475E"/>
    <w:rsid w:val="00904D59"/>
    <w:rsid w:val="00905C29"/>
    <w:rsid w:val="00906595"/>
    <w:rsid w:val="009076DD"/>
    <w:rsid w:val="00912977"/>
    <w:rsid w:val="0091572A"/>
    <w:rsid w:val="009157C1"/>
    <w:rsid w:val="0091696C"/>
    <w:rsid w:val="00917328"/>
    <w:rsid w:val="009232F4"/>
    <w:rsid w:val="00924258"/>
    <w:rsid w:val="00925E6F"/>
    <w:rsid w:val="00930146"/>
    <w:rsid w:val="0093129F"/>
    <w:rsid w:val="00934FA9"/>
    <w:rsid w:val="009366E4"/>
    <w:rsid w:val="00941BDF"/>
    <w:rsid w:val="00945408"/>
    <w:rsid w:val="009474A9"/>
    <w:rsid w:val="00950499"/>
    <w:rsid w:val="0095049B"/>
    <w:rsid w:val="00951D27"/>
    <w:rsid w:val="00952F49"/>
    <w:rsid w:val="00955C2D"/>
    <w:rsid w:val="0096142A"/>
    <w:rsid w:val="009626C3"/>
    <w:rsid w:val="00967ECA"/>
    <w:rsid w:val="009729A9"/>
    <w:rsid w:val="0097454C"/>
    <w:rsid w:val="00977CB3"/>
    <w:rsid w:val="009856B8"/>
    <w:rsid w:val="0099038D"/>
    <w:rsid w:val="00991E91"/>
    <w:rsid w:val="00996D2A"/>
    <w:rsid w:val="00997038"/>
    <w:rsid w:val="00997593"/>
    <w:rsid w:val="009A716B"/>
    <w:rsid w:val="009B0319"/>
    <w:rsid w:val="009B0967"/>
    <w:rsid w:val="009B3D4A"/>
    <w:rsid w:val="009C02A3"/>
    <w:rsid w:val="009C12AF"/>
    <w:rsid w:val="009C2AE9"/>
    <w:rsid w:val="009C5049"/>
    <w:rsid w:val="009C5707"/>
    <w:rsid w:val="009C6376"/>
    <w:rsid w:val="009C68D6"/>
    <w:rsid w:val="009C6C7D"/>
    <w:rsid w:val="009D2890"/>
    <w:rsid w:val="009D30DA"/>
    <w:rsid w:val="009D3F68"/>
    <w:rsid w:val="009D768E"/>
    <w:rsid w:val="009D780D"/>
    <w:rsid w:val="009E2DC2"/>
    <w:rsid w:val="009E4BC6"/>
    <w:rsid w:val="009E4F11"/>
    <w:rsid w:val="009E67A9"/>
    <w:rsid w:val="009F0EE6"/>
    <w:rsid w:val="009F4BC9"/>
    <w:rsid w:val="009F7C29"/>
    <w:rsid w:val="00A02E8E"/>
    <w:rsid w:val="00A02F0D"/>
    <w:rsid w:val="00A05CC8"/>
    <w:rsid w:val="00A15AB9"/>
    <w:rsid w:val="00A15D3D"/>
    <w:rsid w:val="00A17484"/>
    <w:rsid w:val="00A20CAF"/>
    <w:rsid w:val="00A215C8"/>
    <w:rsid w:val="00A2252E"/>
    <w:rsid w:val="00A23508"/>
    <w:rsid w:val="00A248BC"/>
    <w:rsid w:val="00A249C6"/>
    <w:rsid w:val="00A250CB"/>
    <w:rsid w:val="00A300AF"/>
    <w:rsid w:val="00A324AB"/>
    <w:rsid w:val="00A4130E"/>
    <w:rsid w:val="00A41D0B"/>
    <w:rsid w:val="00A42E88"/>
    <w:rsid w:val="00A43AC1"/>
    <w:rsid w:val="00A44356"/>
    <w:rsid w:val="00A449A3"/>
    <w:rsid w:val="00A5225E"/>
    <w:rsid w:val="00A55036"/>
    <w:rsid w:val="00A609E4"/>
    <w:rsid w:val="00A61CB5"/>
    <w:rsid w:val="00A6259C"/>
    <w:rsid w:val="00A62638"/>
    <w:rsid w:val="00A63D34"/>
    <w:rsid w:val="00A64CB4"/>
    <w:rsid w:val="00A67818"/>
    <w:rsid w:val="00A70E7E"/>
    <w:rsid w:val="00A710BC"/>
    <w:rsid w:val="00A732A0"/>
    <w:rsid w:val="00A8034A"/>
    <w:rsid w:val="00A804A5"/>
    <w:rsid w:val="00A825E2"/>
    <w:rsid w:val="00A82D2B"/>
    <w:rsid w:val="00A82E83"/>
    <w:rsid w:val="00A85810"/>
    <w:rsid w:val="00A874F3"/>
    <w:rsid w:val="00A92289"/>
    <w:rsid w:val="00A9536F"/>
    <w:rsid w:val="00A969AD"/>
    <w:rsid w:val="00A97AD5"/>
    <w:rsid w:val="00AA124D"/>
    <w:rsid w:val="00AA1CE8"/>
    <w:rsid w:val="00AA2291"/>
    <w:rsid w:val="00AA438B"/>
    <w:rsid w:val="00AA4663"/>
    <w:rsid w:val="00AA73B3"/>
    <w:rsid w:val="00AB186E"/>
    <w:rsid w:val="00AB4D42"/>
    <w:rsid w:val="00AB53EB"/>
    <w:rsid w:val="00AB6834"/>
    <w:rsid w:val="00AB7069"/>
    <w:rsid w:val="00AB73B2"/>
    <w:rsid w:val="00AC0289"/>
    <w:rsid w:val="00AC0E5B"/>
    <w:rsid w:val="00AC1BB7"/>
    <w:rsid w:val="00AD3859"/>
    <w:rsid w:val="00AD427B"/>
    <w:rsid w:val="00AD7597"/>
    <w:rsid w:val="00AE1D48"/>
    <w:rsid w:val="00AE1D85"/>
    <w:rsid w:val="00AE24FD"/>
    <w:rsid w:val="00AF3F3F"/>
    <w:rsid w:val="00B012AE"/>
    <w:rsid w:val="00B014CB"/>
    <w:rsid w:val="00B0190B"/>
    <w:rsid w:val="00B03A1D"/>
    <w:rsid w:val="00B04DF6"/>
    <w:rsid w:val="00B0516B"/>
    <w:rsid w:val="00B0706E"/>
    <w:rsid w:val="00B10542"/>
    <w:rsid w:val="00B108D1"/>
    <w:rsid w:val="00B10F91"/>
    <w:rsid w:val="00B12D43"/>
    <w:rsid w:val="00B14394"/>
    <w:rsid w:val="00B206F4"/>
    <w:rsid w:val="00B21295"/>
    <w:rsid w:val="00B244EE"/>
    <w:rsid w:val="00B26A22"/>
    <w:rsid w:val="00B336CE"/>
    <w:rsid w:val="00B340A8"/>
    <w:rsid w:val="00B3472C"/>
    <w:rsid w:val="00B35636"/>
    <w:rsid w:val="00B36842"/>
    <w:rsid w:val="00B4018A"/>
    <w:rsid w:val="00B40B94"/>
    <w:rsid w:val="00B41760"/>
    <w:rsid w:val="00B4293A"/>
    <w:rsid w:val="00B4367B"/>
    <w:rsid w:val="00B45DFE"/>
    <w:rsid w:val="00B472A1"/>
    <w:rsid w:val="00B53D2C"/>
    <w:rsid w:val="00B579A1"/>
    <w:rsid w:val="00B605D6"/>
    <w:rsid w:val="00B60EFB"/>
    <w:rsid w:val="00B61B63"/>
    <w:rsid w:val="00B62FC9"/>
    <w:rsid w:val="00B6346E"/>
    <w:rsid w:val="00B64B74"/>
    <w:rsid w:val="00B7127F"/>
    <w:rsid w:val="00B72900"/>
    <w:rsid w:val="00B73956"/>
    <w:rsid w:val="00B75F02"/>
    <w:rsid w:val="00B8219E"/>
    <w:rsid w:val="00B8294E"/>
    <w:rsid w:val="00B87E19"/>
    <w:rsid w:val="00B901E3"/>
    <w:rsid w:val="00B911B3"/>
    <w:rsid w:val="00B91F80"/>
    <w:rsid w:val="00B928CA"/>
    <w:rsid w:val="00B94341"/>
    <w:rsid w:val="00BA2D58"/>
    <w:rsid w:val="00BA5E51"/>
    <w:rsid w:val="00BA61A0"/>
    <w:rsid w:val="00BA6A15"/>
    <w:rsid w:val="00BB1969"/>
    <w:rsid w:val="00BB3C96"/>
    <w:rsid w:val="00BB3DE2"/>
    <w:rsid w:val="00BB6714"/>
    <w:rsid w:val="00BC24EA"/>
    <w:rsid w:val="00BC65CA"/>
    <w:rsid w:val="00BC6FC4"/>
    <w:rsid w:val="00BC7835"/>
    <w:rsid w:val="00BD0A60"/>
    <w:rsid w:val="00BD129C"/>
    <w:rsid w:val="00BD12C5"/>
    <w:rsid w:val="00BD1AD2"/>
    <w:rsid w:val="00BD3168"/>
    <w:rsid w:val="00BD4246"/>
    <w:rsid w:val="00BD5FDA"/>
    <w:rsid w:val="00BE1760"/>
    <w:rsid w:val="00BE2C80"/>
    <w:rsid w:val="00BE3F69"/>
    <w:rsid w:val="00BF1023"/>
    <w:rsid w:val="00BF4B36"/>
    <w:rsid w:val="00BF6261"/>
    <w:rsid w:val="00BF6C1D"/>
    <w:rsid w:val="00C02201"/>
    <w:rsid w:val="00C048A0"/>
    <w:rsid w:val="00C05B6A"/>
    <w:rsid w:val="00C05DDB"/>
    <w:rsid w:val="00C064C1"/>
    <w:rsid w:val="00C07709"/>
    <w:rsid w:val="00C07F8E"/>
    <w:rsid w:val="00C16D88"/>
    <w:rsid w:val="00C171B3"/>
    <w:rsid w:val="00C24A1C"/>
    <w:rsid w:val="00C269AE"/>
    <w:rsid w:val="00C26B0A"/>
    <w:rsid w:val="00C307A6"/>
    <w:rsid w:val="00C3374D"/>
    <w:rsid w:val="00C363EA"/>
    <w:rsid w:val="00C37DC9"/>
    <w:rsid w:val="00C41593"/>
    <w:rsid w:val="00C418F9"/>
    <w:rsid w:val="00C42EE4"/>
    <w:rsid w:val="00C47BDF"/>
    <w:rsid w:val="00C51B8D"/>
    <w:rsid w:val="00C520C8"/>
    <w:rsid w:val="00C55EBF"/>
    <w:rsid w:val="00C55F2E"/>
    <w:rsid w:val="00C62722"/>
    <w:rsid w:val="00C65035"/>
    <w:rsid w:val="00C6556E"/>
    <w:rsid w:val="00C7465F"/>
    <w:rsid w:val="00C759BC"/>
    <w:rsid w:val="00C807BB"/>
    <w:rsid w:val="00C84899"/>
    <w:rsid w:val="00C850D9"/>
    <w:rsid w:val="00C8519B"/>
    <w:rsid w:val="00C85EBF"/>
    <w:rsid w:val="00C90FE5"/>
    <w:rsid w:val="00C910CD"/>
    <w:rsid w:val="00C92BA5"/>
    <w:rsid w:val="00C933A3"/>
    <w:rsid w:val="00C93E10"/>
    <w:rsid w:val="00C95520"/>
    <w:rsid w:val="00C95657"/>
    <w:rsid w:val="00C961FE"/>
    <w:rsid w:val="00CA0633"/>
    <w:rsid w:val="00CA1AAC"/>
    <w:rsid w:val="00CA428F"/>
    <w:rsid w:val="00CA71CF"/>
    <w:rsid w:val="00CB11E4"/>
    <w:rsid w:val="00CB2BA6"/>
    <w:rsid w:val="00CB3199"/>
    <w:rsid w:val="00CB3933"/>
    <w:rsid w:val="00CB551C"/>
    <w:rsid w:val="00CB6894"/>
    <w:rsid w:val="00CB70B1"/>
    <w:rsid w:val="00CC1521"/>
    <w:rsid w:val="00CC3C11"/>
    <w:rsid w:val="00CC3CFA"/>
    <w:rsid w:val="00CC492B"/>
    <w:rsid w:val="00CD3E58"/>
    <w:rsid w:val="00CD664A"/>
    <w:rsid w:val="00CD7F4A"/>
    <w:rsid w:val="00CE3016"/>
    <w:rsid w:val="00CE7A71"/>
    <w:rsid w:val="00CE7EE4"/>
    <w:rsid w:val="00CF280C"/>
    <w:rsid w:val="00CF51CD"/>
    <w:rsid w:val="00CF6F2B"/>
    <w:rsid w:val="00D00D4B"/>
    <w:rsid w:val="00D010CD"/>
    <w:rsid w:val="00D01F17"/>
    <w:rsid w:val="00D021C5"/>
    <w:rsid w:val="00D03B12"/>
    <w:rsid w:val="00D04BAF"/>
    <w:rsid w:val="00D052A3"/>
    <w:rsid w:val="00D10E6A"/>
    <w:rsid w:val="00D1163E"/>
    <w:rsid w:val="00D12434"/>
    <w:rsid w:val="00D13599"/>
    <w:rsid w:val="00D14884"/>
    <w:rsid w:val="00D15466"/>
    <w:rsid w:val="00D1746E"/>
    <w:rsid w:val="00D208E4"/>
    <w:rsid w:val="00D2235D"/>
    <w:rsid w:val="00D22819"/>
    <w:rsid w:val="00D24233"/>
    <w:rsid w:val="00D27786"/>
    <w:rsid w:val="00D345EA"/>
    <w:rsid w:val="00D4683E"/>
    <w:rsid w:val="00D47980"/>
    <w:rsid w:val="00D5079C"/>
    <w:rsid w:val="00D6140B"/>
    <w:rsid w:val="00D6327F"/>
    <w:rsid w:val="00D7030E"/>
    <w:rsid w:val="00D74DCC"/>
    <w:rsid w:val="00D77053"/>
    <w:rsid w:val="00D80A21"/>
    <w:rsid w:val="00D80A8B"/>
    <w:rsid w:val="00D80B67"/>
    <w:rsid w:val="00D8157A"/>
    <w:rsid w:val="00D83D0B"/>
    <w:rsid w:val="00D91250"/>
    <w:rsid w:val="00DA002A"/>
    <w:rsid w:val="00DA0486"/>
    <w:rsid w:val="00DA049F"/>
    <w:rsid w:val="00DA11D1"/>
    <w:rsid w:val="00DA2505"/>
    <w:rsid w:val="00DA76F1"/>
    <w:rsid w:val="00DA7700"/>
    <w:rsid w:val="00DB0E90"/>
    <w:rsid w:val="00DB2765"/>
    <w:rsid w:val="00DB2D27"/>
    <w:rsid w:val="00DB4C62"/>
    <w:rsid w:val="00DB4D5F"/>
    <w:rsid w:val="00DB4F6E"/>
    <w:rsid w:val="00DB6EC5"/>
    <w:rsid w:val="00DC4CAC"/>
    <w:rsid w:val="00DC5ED5"/>
    <w:rsid w:val="00DC7B49"/>
    <w:rsid w:val="00DD250E"/>
    <w:rsid w:val="00DD25A5"/>
    <w:rsid w:val="00DD285B"/>
    <w:rsid w:val="00DD3B86"/>
    <w:rsid w:val="00DD43E9"/>
    <w:rsid w:val="00DD5698"/>
    <w:rsid w:val="00DD7BA0"/>
    <w:rsid w:val="00DE02F6"/>
    <w:rsid w:val="00DE41BB"/>
    <w:rsid w:val="00DF3C13"/>
    <w:rsid w:val="00DF65A8"/>
    <w:rsid w:val="00E008DD"/>
    <w:rsid w:val="00E011E1"/>
    <w:rsid w:val="00E0207F"/>
    <w:rsid w:val="00E029C1"/>
    <w:rsid w:val="00E02DBD"/>
    <w:rsid w:val="00E03397"/>
    <w:rsid w:val="00E04BE7"/>
    <w:rsid w:val="00E11108"/>
    <w:rsid w:val="00E1203A"/>
    <w:rsid w:val="00E15AD0"/>
    <w:rsid w:val="00E168E6"/>
    <w:rsid w:val="00E1774A"/>
    <w:rsid w:val="00E17797"/>
    <w:rsid w:val="00E17D78"/>
    <w:rsid w:val="00E21AA8"/>
    <w:rsid w:val="00E22496"/>
    <w:rsid w:val="00E32693"/>
    <w:rsid w:val="00E350F1"/>
    <w:rsid w:val="00E36CB1"/>
    <w:rsid w:val="00E37C71"/>
    <w:rsid w:val="00E42A03"/>
    <w:rsid w:val="00E45774"/>
    <w:rsid w:val="00E51865"/>
    <w:rsid w:val="00E53B8F"/>
    <w:rsid w:val="00E54C0A"/>
    <w:rsid w:val="00E56990"/>
    <w:rsid w:val="00E6038E"/>
    <w:rsid w:val="00E621CD"/>
    <w:rsid w:val="00E63957"/>
    <w:rsid w:val="00E6591F"/>
    <w:rsid w:val="00E7031A"/>
    <w:rsid w:val="00E73E40"/>
    <w:rsid w:val="00E8056A"/>
    <w:rsid w:val="00E836F4"/>
    <w:rsid w:val="00E83C7C"/>
    <w:rsid w:val="00E85019"/>
    <w:rsid w:val="00E9090C"/>
    <w:rsid w:val="00E92233"/>
    <w:rsid w:val="00E922E0"/>
    <w:rsid w:val="00E9306E"/>
    <w:rsid w:val="00E93B8F"/>
    <w:rsid w:val="00E93CD4"/>
    <w:rsid w:val="00E95334"/>
    <w:rsid w:val="00E9681B"/>
    <w:rsid w:val="00E976AC"/>
    <w:rsid w:val="00E97D52"/>
    <w:rsid w:val="00EA1C61"/>
    <w:rsid w:val="00EA1FBC"/>
    <w:rsid w:val="00EA2F4B"/>
    <w:rsid w:val="00EA4C11"/>
    <w:rsid w:val="00EA56C6"/>
    <w:rsid w:val="00EB015F"/>
    <w:rsid w:val="00EB0C6B"/>
    <w:rsid w:val="00EB2FDC"/>
    <w:rsid w:val="00EB4637"/>
    <w:rsid w:val="00EB4E61"/>
    <w:rsid w:val="00EC3658"/>
    <w:rsid w:val="00EC4B41"/>
    <w:rsid w:val="00EC617F"/>
    <w:rsid w:val="00EC650C"/>
    <w:rsid w:val="00ED0435"/>
    <w:rsid w:val="00ED383E"/>
    <w:rsid w:val="00ED3CA6"/>
    <w:rsid w:val="00EE0B22"/>
    <w:rsid w:val="00EE1545"/>
    <w:rsid w:val="00EE44CB"/>
    <w:rsid w:val="00EE4A5C"/>
    <w:rsid w:val="00EE6296"/>
    <w:rsid w:val="00EE63E6"/>
    <w:rsid w:val="00EE75C3"/>
    <w:rsid w:val="00EF1243"/>
    <w:rsid w:val="00EF2E80"/>
    <w:rsid w:val="00EF6289"/>
    <w:rsid w:val="00EF666D"/>
    <w:rsid w:val="00F0034B"/>
    <w:rsid w:val="00F00EB1"/>
    <w:rsid w:val="00F02BDA"/>
    <w:rsid w:val="00F03004"/>
    <w:rsid w:val="00F038DC"/>
    <w:rsid w:val="00F039D9"/>
    <w:rsid w:val="00F04BC2"/>
    <w:rsid w:val="00F05560"/>
    <w:rsid w:val="00F05B3A"/>
    <w:rsid w:val="00F05EC6"/>
    <w:rsid w:val="00F06F9F"/>
    <w:rsid w:val="00F103F2"/>
    <w:rsid w:val="00F129E2"/>
    <w:rsid w:val="00F13A92"/>
    <w:rsid w:val="00F15288"/>
    <w:rsid w:val="00F165A2"/>
    <w:rsid w:val="00F21F2E"/>
    <w:rsid w:val="00F241CD"/>
    <w:rsid w:val="00F27210"/>
    <w:rsid w:val="00F339C1"/>
    <w:rsid w:val="00F33DCE"/>
    <w:rsid w:val="00F34C75"/>
    <w:rsid w:val="00F3535B"/>
    <w:rsid w:val="00F35BEF"/>
    <w:rsid w:val="00F415AC"/>
    <w:rsid w:val="00F455B9"/>
    <w:rsid w:val="00F4613C"/>
    <w:rsid w:val="00F50BA5"/>
    <w:rsid w:val="00F5158A"/>
    <w:rsid w:val="00F545E9"/>
    <w:rsid w:val="00F550D7"/>
    <w:rsid w:val="00F61C76"/>
    <w:rsid w:val="00F641B4"/>
    <w:rsid w:val="00F659A3"/>
    <w:rsid w:val="00F71815"/>
    <w:rsid w:val="00F72657"/>
    <w:rsid w:val="00F75EC6"/>
    <w:rsid w:val="00F80524"/>
    <w:rsid w:val="00F81468"/>
    <w:rsid w:val="00F828F4"/>
    <w:rsid w:val="00F878CB"/>
    <w:rsid w:val="00F900CE"/>
    <w:rsid w:val="00F94A28"/>
    <w:rsid w:val="00F94AA9"/>
    <w:rsid w:val="00F95612"/>
    <w:rsid w:val="00F97F4A"/>
    <w:rsid w:val="00FA4235"/>
    <w:rsid w:val="00FA7D1D"/>
    <w:rsid w:val="00FB27AE"/>
    <w:rsid w:val="00FB6EC4"/>
    <w:rsid w:val="00FC0E00"/>
    <w:rsid w:val="00FC0F04"/>
    <w:rsid w:val="00FC1697"/>
    <w:rsid w:val="00FC2AD7"/>
    <w:rsid w:val="00FC3A82"/>
    <w:rsid w:val="00FD52AF"/>
    <w:rsid w:val="00FD5CA6"/>
    <w:rsid w:val="00FD5DB1"/>
    <w:rsid w:val="00FD688F"/>
    <w:rsid w:val="00FE43F9"/>
    <w:rsid w:val="00FE4DC7"/>
    <w:rsid w:val="00FF050B"/>
    <w:rsid w:val="00FF4941"/>
    <w:rsid w:val="00FF5C41"/>
    <w:rsid w:val="084F7B03"/>
    <w:rsid w:val="1D861277"/>
    <w:rsid w:val="24793337"/>
    <w:rsid w:val="29E74704"/>
    <w:rsid w:val="3F343EF2"/>
    <w:rsid w:val="3FAA8167"/>
    <w:rsid w:val="408F8C33"/>
    <w:rsid w:val="41A9B8A4"/>
    <w:rsid w:val="479F1E31"/>
    <w:rsid w:val="48005146"/>
    <w:rsid w:val="5492EA73"/>
    <w:rsid w:val="641DDA20"/>
    <w:rsid w:val="6E20C364"/>
    <w:rsid w:val="7059C474"/>
    <w:rsid w:val="72063EF0"/>
    <w:rsid w:val="7792C16F"/>
    <w:rsid w:val="7E9FB7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2473"/>
  <w15:chartTrackingRefBased/>
  <w15:docId w15:val="{2E8FE069-F498-4EB5-8292-179FEB82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C2"/>
    <w:pPr>
      <w:spacing w:after="3" w:line="248" w:lineRule="auto"/>
      <w:ind w:left="1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684D74"/>
    <w:pPr>
      <w:keepNext/>
      <w:keepLines/>
      <w:spacing w:before="360" w:after="80"/>
      <w:outlineLvl w:val="0"/>
    </w:pPr>
    <w:rPr>
      <w:rFonts w:asciiTheme="majorHAnsi" w:eastAsiaTheme="majorEastAsia" w:hAnsiTheme="majorHAnsi" w:cstheme="majorBidi"/>
      <w:color w:val="004747" w:themeColor="accent1" w:themeShade="BF"/>
      <w:sz w:val="40"/>
      <w:szCs w:val="40"/>
    </w:rPr>
  </w:style>
  <w:style w:type="paragraph" w:styleId="Heading2">
    <w:name w:val="heading 2"/>
    <w:basedOn w:val="Normal"/>
    <w:next w:val="Normal"/>
    <w:link w:val="Heading2Char"/>
    <w:uiPriority w:val="9"/>
    <w:unhideWhenUsed/>
    <w:qFormat/>
    <w:rsid w:val="00684D74"/>
    <w:pPr>
      <w:keepNext/>
      <w:keepLines/>
      <w:spacing w:before="160" w:after="80"/>
      <w:outlineLvl w:val="1"/>
    </w:pPr>
    <w:rPr>
      <w:rFonts w:asciiTheme="majorHAnsi" w:eastAsiaTheme="majorEastAsia" w:hAnsiTheme="majorHAnsi" w:cstheme="majorBidi"/>
      <w:color w:val="004747" w:themeColor="accent1" w:themeShade="BF"/>
      <w:sz w:val="32"/>
      <w:szCs w:val="32"/>
    </w:rPr>
  </w:style>
  <w:style w:type="paragraph" w:styleId="Heading3">
    <w:name w:val="heading 3"/>
    <w:basedOn w:val="Normal"/>
    <w:next w:val="Normal"/>
    <w:link w:val="Heading3Char"/>
    <w:uiPriority w:val="9"/>
    <w:unhideWhenUsed/>
    <w:qFormat/>
    <w:rsid w:val="00684D74"/>
    <w:pPr>
      <w:keepNext/>
      <w:keepLines/>
      <w:spacing w:before="160" w:after="80"/>
      <w:outlineLvl w:val="2"/>
    </w:pPr>
    <w:rPr>
      <w:rFonts w:eastAsiaTheme="majorEastAsia" w:cstheme="majorBidi"/>
      <w:color w:val="004747" w:themeColor="accent1" w:themeShade="BF"/>
      <w:sz w:val="28"/>
      <w:szCs w:val="28"/>
    </w:rPr>
  </w:style>
  <w:style w:type="paragraph" w:styleId="Heading4">
    <w:name w:val="heading 4"/>
    <w:basedOn w:val="Normal"/>
    <w:next w:val="Normal"/>
    <w:link w:val="Heading4Char"/>
    <w:uiPriority w:val="9"/>
    <w:semiHidden/>
    <w:unhideWhenUsed/>
    <w:qFormat/>
    <w:rsid w:val="00684D74"/>
    <w:pPr>
      <w:keepNext/>
      <w:keepLines/>
      <w:spacing w:before="80" w:after="40"/>
      <w:outlineLvl w:val="3"/>
    </w:pPr>
    <w:rPr>
      <w:rFonts w:eastAsiaTheme="majorEastAsia" w:cstheme="majorBidi"/>
      <w:i/>
      <w:iCs/>
      <w:color w:val="004747" w:themeColor="accent1" w:themeShade="BF"/>
    </w:rPr>
  </w:style>
  <w:style w:type="paragraph" w:styleId="Heading5">
    <w:name w:val="heading 5"/>
    <w:basedOn w:val="Normal"/>
    <w:next w:val="Normal"/>
    <w:link w:val="Heading5Char"/>
    <w:uiPriority w:val="9"/>
    <w:semiHidden/>
    <w:unhideWhenUsed/>
    <w:qFormat/>
    <w:rsid w:val="00684D74"/>
    <w:pPr>
      <w:keepNext/>
      <w:keepLines/>
      <w:spacing w:before="80" w:after="40"/>
      <w:outlineLvl w:val="4"/>
    </w:pPr>
    <w:rPr>
      <w:rFonts w:eastAsiaTheme="majorEastAsia" w:cstheme="majorBidi"/>
      <w:color w:val="004747" w:themeColor="accent1" w:themeShade="BF"/>
    </w:rPr>
  </w:style>
  <w:style w:type="paragraph" w:styleId="Heading6">
    <w:name w:val="heading 6"/>
    <w:basedOn w:val="Normal"/>
    <w:next w:val="Normal"/>
    <w:link w:val="Heading6Char"/>
    <w:uiPriority w:val="9"/>
    <w:semiHidden/>
    <w:unhideWhenUsed/>
    <w:qFormat/>
    <w:rsid w:val="00684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034B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4BEF"/>
    <w:pPr>
      <w:spacing w:after="0" w:line="240" w:lineRule="auto"/>
    </w:pPr>
    <w:rPr>
      <w:rFonts w:ascii="Arial" w:hAnsi="Arial"/>
    </w:rPr>
    <w:tblPr>
      <w:tblStyleRowBandSize w:val="1"/>
      <w:tblStyleColBandSize w:val="1"/>
      <w:tblBorders>
        <w:top w:val="single" w:sz="4" w:space="0" w:color="06FFFF" w:themeColor="accent1" w:themeTint="99"/>
        <w:left w:val="single" w:sz="4" w:space="0" w:color="06FFFF" w:themeColor="accent1" w:themeTint="99"/>
        <w:bottom w:val="single" w:sz="4" w:space="0" w:color="06FFFF" w:themeColor="accent1" w:themeTint="99"/>
        <w:right w:val="single" w:sz="4" w:space="0" w:color="06FFFF" w:themeColor="accent1" w:themeTint="99"/>
        <w:insideH w:val="single" w:sz="4" w:space="0" w:color="06FFFF" w:themeColor="accent1" w:themeTint="99"/>
        <w:insideV w:val="single" w:sz="4" w:space="0" w:color="06FFFF" w:themeColor="accent1" w:themeTint="99"/>
      </w:tblBorders>
    </w:tblPr>
    <w:tcPr>
      <w:shd w:val="clear" w:color="auto" w:fill="auto"/>
    </w:tcPr>
    <w:tblStylePr w:type="firstRow">
      <w:rPr>
        <w:b/>
        <w:bCs/>
        <w:color w:val="FFFFFF" w:themeColor="background1"/>
      </w:rPr>
      <w:tblPr/>
      <w:tcPr>
        <w:tcBorders>
          <w:top w:val="single" w:sz="4" w:space="0" w:color="006060" w:themeColor="accent1"/>
          <w:left w:val="single" w:sz="4" w:space="0" w:color="006060" w:themeColor="accent1"/>
          <w:bottom w:val="single" w:sz="4" w:space="0" w:color="006060" w:themeColor="accent1"/>
          <w:right w:val="single" w:sz="4" w:space="0" w:color="006060" w:themeColor="accent1"/>
          <w:insideH w:val="nil"/>
          <w:insideV w:val="nil"/>
        </w:tcBorders>
        <w:shd w:val="clear" w:color="auto" w:fill="006060" w:themeFill="accent1"/>
      </w:tcPr>
    </w:tblStylePr>
    <w:tblStylePr w:type="lastRow">
      <w:rPr>
        <w:b/>
        <w:bCs/>
      </w:rPr>
      <w:tblPr/>
      <w:tcPr>
        <w:tcBorders>
          <w:top w:val="double" w:sz="4" w:space="0" w:color="006060" w:themeColor="accent1"/>
        </w:tcBorders>
      </w:tcPr>
    </w:tblStylePr>
    <w:tblStylePr w:type="firstCol">
      <w:rPr>
        <w:b/>
        <w:bCs/>
      </w:rPr>
    </w:tblStylePr>
    <w:tblStylePr w:type="lastCol">
      <w:rPr>
        <w:b/>
        <w:bCs/>
      </w:rPr>
    </w:tblStylePr>
    <w:tblStylePr w:type="band1Vert">
      <w:tblPr/>
      <w:tcPr>
        <w:shd w:val="clear" w:color="auto" w:fill="ACFFFF" w:themeFill="accent1" w:themeFillTint="33"/>
      </w:tcPr>
    </w:tblStylePr>
    <w:tblStylePr w:type="band1Horz">
      <w:tblPr/>
      <w:tcPr>
        <w:shd w:val="clear" w:color="auto" w:fill="ACFFFF" w:themeFill="accent1" w:themeFillTint="33"/>
      </w:tcPr>
    </w:tblStylePr>
  </w:style>
  <w:style w:type="table" w:styleId="GridTable4-Accent3">
    <w:name w:val="Grid Table 4 Accent 3"/>
    <w:basedOn w:val="TableNormal"/>
    <w:uiPriority w:val="49"/>
    <w:rsid w:val="00034BEF"/>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AACA3D" w:themeColor="accent3"/>
          <w:left w:val="single" w:sz="4" w:space="0" w:color="AACA3D" w:themeColor="accent3"/>
          <w:bottom w:val="single" w:sz="4" w:space="0" w:color="AACA3D" w:themeColor="accent3"/>
          <w:right w:val="single" w:sz="4" w:space="0" w:color="AACA3D" w:themeColor="accent3"/>
          <w:insideH w:val="nil"/>
          <w:insideV w:val="nil"/>
        </w:tcBorders>
        <w:shd w:val="clear" w:color="auto" w:fill="AACA3D" w:themeFill="accent3"/>
      </w:tcPr>
    </w:tblStylePr>
    <w:tblStylePr w:type="lastRow">
      <w:rPr>
        <w:b/>
        <w:bCs/>
      </w:rPr>
      <w:tblPr/>
      <w:tcPr>
        <w:tcBorders>
          <w:top w:val="double" w:sz="4" w:space="0" w:color="AACA3D" w:themeColor="accent3"/>
        </w:tcBorders>
      </w:tcPr>
    </w:tblStylePr>
    <w:tblStylePr w:type="firstCol">
      <w:rPr>
        <w:b/>
        <w:bCs/>
      </w:rPr>
    </w:tblStylePr>
    <w:tblStylePr w:type="lastCol">
      <w:rPr>
        <w:b/>
        <w:bCs/>
      </w:rPr>
    </w:tblStylePr>
    <w:tblStylePr w:type="band1Vert">
      <w:tblPr/>
      <w:tcPr>
        <w:shd w:val="clear" w:color="auto" w:fill="EDF4D7" w:themeFill="accent3" w:themeFillTint="33"/>
      </w:tcPr>
    </w:tblStylePr>
    <w:tblStylePr w:type="band1Horz">
      <w:tblPr/>
      <w:tcPr>
        <w:shd w:val="clear" w:color="auto" w:fill="EDF4D7" w:themeFill="accent3" w:themeFillTint="33"/>
      </w:tcPr>
    </w:tblStylePr>
  </w:style>
  <w:style w:type="table" w:styleId="ListTable7ColourfulAccent6">
    <w:name w:val="List Table 7 Colorful Accent 6"/>
    <w:basedOn w:val="TableNormal"/>
    <w:uiPriority w:val="52"/>
    <w:rsid w:val="00684D74"/>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B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4D74"/>
    <w:rPr>
      <w:rFonts w:asciiTheme="majorHAnsi" w:eastAsiaTheme="majorEastAsia" w:hAnsiTheme="majorHAnsi" w:cstheme="majorBidi"/>
      <w:color w:val="004747" w:themeColor="accent1" w:themeShade="BF"/>
      <w:sz w:val="40"/>
      <w:szCs w:val="40"/>
    </w:rPr>
  </w:style>
  <w:style w:type="character" w:customStyle="1" w:styleId="Heading2Char">
    <w:name w:val="Heading 2 Char"/>
    <w:basedOn w:val="DefaultParagraphFont"/>
    <w:link w:val="Heading2"/>
    <w:rsid w:val="00684D74"/>
    <w:rPr>
      <w:rFonts w:asciiTheme="majorHAnsi" w:eastAsiaTheme="majorEastAsia" w:hAnsiTheme="majorHAnsi" w:cstheme="majorBidi"/>
      <w:color w:val="004747" w:themeColor="accent1" w:themeShade="BF"/>
      <w:sz w:val="32"/>
      <w:szCs w:val="32"/>
    </w:rPr>
  </w:style>
  <w:style w:type="character" w:customStyle="1" w:styleId="Heading3Char">
    <w:name w:val="Heading 3 Char"/>
    <w:basedOn w:val="DefaultParagraphFont"/>
    <w:link w:val="Heading3"/>
    <w:rsid w:val="00684D74"/>
    <w:rPr>
      <w:rFonts w:eastAsiaTheme="majorEastAsia" w:cstheme="majorBidi"/>
      <w:color w:val="004747" w:themeColor="accent1" w:themeShade="BF"/>
      <w:sz w:val="28"/>
      <w:szCs w:val="28"/>
    </w:rPr>
  </w:style>
  <w:style w:type="character" w:customStyle="1" w:styleId="Heading4Char">
    <w:name w:val="Heading 4 Char"/>
    <w:basedOn w:val="DefaultParagraphFont"/>
    <w:link w:val="Heading4"/>
    <w:uiPriority w:val="9"/>
    <w:semiHidden/>
    <w:rsid w:val="00684D74"/>
    <w:rPr>
      <w:rFonts w:eastAsiaTheme="majorEastAsia" w:cstheme="majorBidi"/>
      <w:i/>
      <w:iCs/>
      <w:color w:val="004747" w:themeColor="accent1" w:themeShade="BF"/>
    </w:rPr>
  </w:style>
  <w:style w:type="character" w:customStyle="1" w:styleId="Heading5Char">
    <w:name w:val="Heading 5 Char"/>
    <w:basedOn w:val="DefaultParagraphFont"/>
    <w:link w:val="Heading5"/>
    <w:uiPriority w:val="9"/>
    <w:semiHidden/>
    <w:rsid w:val="00684D74"/>
    <w:rPr>
      <w:rFonts w:eastAsiaTheme="majorEastAsia" w:cstheme="majorBidi"/>
      <w:color w:val="004747" w:themeColor="accent1" w:themeShade="BF"/>
    </w:rPr>
  </w:style>
  <w:style w:type="character" w:customStyle="1" w:styleId="Heading6Char">
    <w:name w:val="Heading 6 Char"/>
    <w:basedOn w:val="DefaultParagraphFont"/>
    <w:link w:val="Heading6"/>
    <w:uiPriority w:val="9"/>
    <w:semiHidden/>
    <w:rsid w:val="00684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74"/>
    <w:rPr>
      <w:rFonts w:eastAsiaTheme="majorEastAsia" w:cstheme="majorBidi"/>
      <w:color w:val="272727" w:themeColor="text1" w:themeTint="D8"/>
    </w:rPr>
  </w:style>
  <w:style w:type="paragraph" w:customStyle="1" w:styleId="Header1">
    <w:name w:val="Header 1"/>
    <w:basedOn w:val="Normal"/>
    <w:link w:val="Header1Char"/>
    <w:qFormat/>
    <w:rsid w:val="00EB4E61"/>
    <w:rPr>
      <w:rFonts w:ascii="Arial" w:hAnsi="Arial" w:cs="Arial"/>
      <w:b/>
      <w:bCs/>
      <w:sz w:val="56"/>
      <w:szCs w:val="56"/>
    </w:rPr>
  </w:style>
  <w:style w:type="character" w:customStyle="1" w:styleId="Header1Char">
    <w:name w:val="Header 1 Char"/>
    <w:basedOn w:val="DefaultParagraphFont"/>
    <w:link w:val="Header1"/>
    <w:rsid w:val="00EB4E61"/>
    <w:rPr>
      <w:rFonts w:ascii="Arial" w:hAnsi="Arial" w:cs="Arial"/>
      <w:b/>
      <w:bCs/>
      <w:sz w:val="56"/>
      <w:szCs w:val="56"/>
    </w:rPr>
  </w:style>
  <w:style w:type="paragraph" w:customStyle="1" w:styleId="Body14pt">
    <w:name w:val="Body 14pt"/>
    <w:basedOn w:val="Normal"/>
    <w:link w:val="Body14ptChar"/>
    <w:qFormat/>
    <w:rsid w:val="00640135"/>
    <w:pPr>
      <w:spacing w:after="0" w:line="240" w:lineRule="auto"/>
    </w:pPr>
    <w:rPr>
      <w:rFonts w:ascii="Arial" w:eastAsia="MS Mincho" w:hAnsi="Arial" w:cs="Times New Roman"/>
      <w:kern w:val="0"/>
      <w:sz w:val="28"/>
      <w14:ligatures w14:val="none"/>
    </w:rPr>
  </w:style>
  <w:style w:type="character" w:customStyle="1" w:styleId="Body14ptChar">
    <w:name w:val="Body 14pt Char"/>
    <w:basedOn w:val="DefaultParagraphFont"/>
    <w:link w:val="Body14pt"/>
    <w:rsid w:val="00640135"/>
    <w:rPr>
      <w:rFonts w:ascii="Arial" w:eastAsia="MS Mincho" w:hAnsi="Arial" w:cs="Times New Roman"/>
      <w:color w:val="006060"/>
      <w:kern w:val="0"/>
      <w:sz w:val="28"/>
      <w:szCs w:val="24"/>
      <w14:ligatures w14:val="none"/>
    </w:rPr>
  </w:style>
  <w:style w:type="paragraph" w:styleId="Quote">
    <w:name w:val="Quote"/>
    <w:basedOn w:val="Normal"/>
    <w:next w:val="Normal"/>
    <w:link w:val="QuoteChar"/>
    <w:uiPriority w:val="29"/>
    <w:rsid w:val="00684D74"/>
    <w:pPr>
      <w:spacing w:before="160"/>
      <w:jc w:val="center"/>
    </w:pPr>
    <w:rPr>
      <w:i/>
      <w:iCs/>
      <w:color w:val="404040" w:themeColor="text1" w:themeTint="BF"/>
    </w:rPr>
  </w:style>
  <w:style w:type="character" w:customStyle="1" w:styleId="QuoteChar">
    <w:name w:val="Quote Char"/>
    <w:basedOn w:val="DefaultParagraphFont"/>
    <w:link w:val="Quote"/>
    <w:uiPriority w:val="29"/>
    <w:rsid w:val="00684D74"/>
    <w:rPr>
      <w:i/>
      <w:iCs/>
      <w:color w:val="404040" w:themeColor="text1" w:themeTint="BF"/>
    </w:rPr>
  </w:style>
  <w:style w:type="paragraph" w:styleId="ListParagraph">
    <w:name w:val="List Paragraph"/>
    <w:basedOn w:val="Normal"/>
    <w:uiPriority w:val="34"/>
    <w:rsid w:val="00684D74"/>
    <w:pPr>
      <w:ind w:left="720"/>
      <w:contextualSpacing/>
    </w:pPr>
  </w:style>
  <w:style w:type="character" w:styleId="IntenseEmphasis">
    <w:name w:val="Intense Emphasis"/>
    <w:basedOn w:val="DefaultParagraphFont"/>
    <w:uiPriority w:val="21"/>
    <w:rsid w:val="00684D74"/>
    <w:rPr>
      <w:i/>
      <w:iCs/>
      <w:color w:val="004747" w:themeColor="accent1" w:themeShade="BF"/>
    </w:rPr>
  </w:style>
  <w:style w:type="paragraph" w:styleId="IntenseQuote">
    <w:name w:val="Intense Quote"/>
    <w:basedOn w:val="Normal"/>
    <w:next w:val="Normal"/>
    <w:link w:val="IntenseQuoteChar"/>
    <w:uiPriority w:val="30"/>
    <w:rsid w:val="00684D74"/>
    <w:pPr>
      <w:pBdr>
        <w:top w:val="single" w:sz="4" w:space="10" w:color="004747" w:themeColor="accent1" w:themeShade="BF"/>
        <w:bottom w:val="single" w:sz="4" w:space="10" w:color="004747" w:themeColor="accent1" w:themeShade="BF"/>
      </w:pBdr>
      <w:spacing w:before="360" w:after="360"/>
      <w:ind w:left="864" w:right="864"/>
      <w:jc w:val="center"/>
    </w:pPr>
    <w:rPr>
      <w:i/>
      <w:iCs/>
      <w:color w:val="004747" w:themeColor="accent1" w:themeShade="BF"/>
    </w:rPr>
  </w:style>
  <w:style w:type="character" w:customStyle="1" w:styleId="IntenseQuoteChar">
    <w:name w:val="Intense Quote Char"/>
    <w:basedOn w:val="DefaultParagraphFont"/>
    <w:link w:val="IntenseQuote"/>
    <w:uiPriority w:val="30"/>
    <w:rsid w:val="00684D74"/>
    <w:rPr>
      <w:i/>
      <w:iCs/>
      <w:color w:val="004747" w:themeColor="accent1" w:themeShade="BF"/>
    </w:rPr>
  </w:style>
  <w:style w:type="character" w:styleId="IntenseReference">
    <w:name w:val="Intense Reference"/>
    <w:basedOn w:val="DefaultParagraphFont"/>
    <w:uiPriority w:val="32"/>
    <w:rsid w:val="00684D74"/>
    <w:rPr>
      <w:b/>
      <w:bCs/>
      <w:smallCaps/>
      <w:color w:val="004747" w:themeColor="accent1" w:themeShade="BF"/>
      <w:spacing w:val="5"/>
    </w:rPr>
  </w:style>
  <w:style w:type="paragraph" w:styleId="Header">
    <w:name w:val="header"/>
    <w:basedOn w:val="Normal"/>
    <w:link w:val="HeaderChar"/>
    <w:uiPriority w:val="99"/>
    <w:unhideWhenUsed/>
    <w:rsid w:val="0068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D74"/>
  </w:style>
  <w:style w:type="paragraph" w:styleId="Footer">
    <w:name w:val="footer"/>
    <w:basedOn w:val="Normal"/>
    <w:link w:val="FooterChar"/>
    <w:uiPriority w:val="99"/>
    <w:unhideWhenUsed/>
    <w:rsid w:val="0068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D74"/>
  </w:style>
  <w:style w:type="paragraph" w:customStyle="1" w:styleId="DocumentHeaderPage2">
    <w:name w:val="Document Header Page 2"/>
    <w:basedOn w:val="Normal"/>
    <w:link w:val="DocumentHeaderPage2Char"/>
    <w:qFormat/>
    <w:rsid w:val="002E1E14"/>
    <w:pPr>
      <w:spacing w:after="0" w:line="240" w:lineRule="auto"/>
      <w:jc w:val="right"/>
    </w:pPr>
    <w:rPr>
      <w:rFonts w:ascii="Arial" w:eastAsia="MS Mincho" w:hAnsi="Arial" w:cs="Times New Roman"/>
      <w:color w:val="FFFFFF" w:themeColor="background1"/>
      <w:kern w:val="0"/>
      <w:sz w:val="32"/>
      <w:szCs w:val="32"/>
      <w14:ligatures w14:val="none"/>
    </w:rPr>
  </w:style>
  <w:style w:type="character" w:customStyle="1" w:styleId="DocumentHeaderPage2Char">
    <w:name w:val="Document Header Page 2 Char"/>
    <w:basedOn w:val="DefaultParagraphFont"/>
    <w:link w:val="DocumentHeaderPage2"/>
    <w:rsid w:val="002E1E14"/>
    <w:rPr>
      <w:rFonts w:ascii="Arial" w:eastAsia="MS Mincho" w:hAnsi="Arial" w:cs="Times New Roman"/>
      <w:color w:val="FFFFFF" w:themeColor="background1"/>
      <w:kern w:val="0"/>
      <w:sz w:val="32"/>
      <w:szCs w:val="32"/>
      <w14:ligatures w14:val="none"/>
    </w:rPr>
  </w:style>
  <w:style w:type="paragraph" w:customStyle="1" w:styleId="DocumentHeaderDate">
    <w:name w:val="Document Header Date"/>
    <w:basedOn w:val="Normal"/>
    <w:link w:val="DocumentHeaderDateChar"/>
    <w:qFormat/>
    <w:rsid w:val="002E1E14"/>
    <w:pPr>
      <w:spacing w:after="0" w:line="240" w:lineRule="auto"/>
    </w:pPr>
    <w:rPr>
      <w:rFonts w:ascii="Arial" w:eastAsia="MS Mincho" w:hAnsi="Arial" w:cs="Times New Roman"/>
      <w:color w:val="FFFFFF" w:themeColor="background1"/>
      <w:kern w:val="0"/>
      <w:szCs w:val="28"/>
      <w14:ligatures w14:val="none"/>
    </w:rPr>
  </w:style>
  <w:style w:type="character" w:customStyle="1" w:styleId="DocumentHeaderDateChar">
    <w:name w:val="Document Header Date Char"/>
    <w:basedOn w:val="DefaultParagraphFont"/>
    <w:link w:val="DocumentHeaderDate"/>
    <w:rsid w:val="002E1E14"/>
    <w:rPr>
      <w:rFonts w:ascii="Arial" w:eastAsia="MS Mincho" w:hAnsi="Arial" w:cs="Times New Roman"/>
      <w:color w:val="FFFFFF" w:themeColor="background1"/>
      <w:kern w:val="0"/>
      <w:sz w:val="24"/>
      <w:szCs w:val="28"/>
      <w14:ligatures w14:val="none"/>
    </w:rPr>
  </w:style>
  <w:style w:type="paragraph" w:customStyle="1" w:styleId="DocumentHeaderPage1">
    <w:name w:val="Document Header Page 1"/>
    <w:basedOn w:val="Normal"/>
    <w:link w:val="DocumentHeaderPage1Char"/>
    <w:qFormat/>
    <w:rsid w:val="00CB70B1"/>
    <w:pPr>
      <w:spacing w:after="0" w:line="240" w:lineRule="auto"/>
    </w:pPr>
    <w:rPr>
      <w:rFonts w:ascii="Arial" w:eastAsia="MS Mincho" w:hAnsi="Arial" w:cs="Times New Roman"/>
      <w:b/>
      <w:color w:val="006060"/>
      <w:kern w:val="0"/>
      <w:sz w:val="56"/>
      <w:szCs w:val="56"/>
      <w14:ligatures w14:val="none"/>
    </w:rPr>
  </w:style>
  <w:style w:type="character" w:customStyle="1" w:styleId="DocumentHeaderPage1Char">
    <w:name w:val="Document Header Page 1 Char"/>
    <w:basedOn w:val="DefaultParagraphFont"/>
    <w:link w:val="DocumentHeaderPage1"/>
    <w:rsid w:val="00CB70B1"/>
    <w:rPr>
      <w:rFonts w:ascii="Arial" w:eastAsia="MS Mincho" w:hAnsi="Arial" w:cs="Times New Roman"/>
      <w:b/>
      <w:color w:val="006060"/>
      <w:kern w:val="0"/>
      <w:sz w:val="56"/>
      <w:szCs w:val="56"/>
      <w14:ligatures w14:val="none"/>
    </w:rPr>
  </w:style>
  <w:style w:type="paragraph" w:customStyle="1" w:styleId="HeaderGreen">
    <w:name w:val="Header Green"/>
    <w:basedOn w:val="Normal"/>
    <w:link w:val="HeaderGreenChar"/>
    <w:qFormat/>
    <w:rsid w:val="002E1E14"/>
    <w:pPr>
      <w:spacing w:after="0" w:line="240" w:lineRule="auto"/>
    </w:pPr>
    <w:rPr>
      <w:rFonts w:ascii="Arial" w:eastAsia="MS Mincho" w:hAnsi="Arial" w:cs="Helvetica"/>
      <w:color w:val="006060"/>
      <w:kern w:val="0"/>
      <w:sz w:val="32"/>
      <w14:ligatures w14:val="none"/>
    </w:rPr>
  </w:style>
  <w:style w:type="character" w:customStyle="1" w:styleId="HeaderGreenChar">
    <w:name w:val="Header Green Char"/>
    <w:basedOn w:val="DefaultParagraphFont"/>
    <w:link w:val="HeaderGreen"/>
    <w:rsid w:val="002E1E14"/>
    <w:rPr>
      <w:rFonts w:ascii="Arial" w:eastAsia="MS Mincho" w:hAnsi="Arial" w:cs="Helvetica"/>
      <w:color w:val="006060"/>
      <w:kern w:val="0"/>
      <w:sz w:val="32"/>
      <w:szCs w:val="24"/>
      <w14:ligatures w14:val="none"/>
    </w:rPr>
  </w:style>
  <w:style w:type="paragraph" w:customStyle="1" w:styleId="Body12pt">
    <w:name w:val="Body 12pt"/>
    <w:basedOn w:val="Normal"/>
    <w:link w:val="Body12ptChar"/>
    <w:qFormat/>
    <w:rsid w:val="00F878CB"/>
    <w:pPr>
      <w:spacing w:after="0" w:line="240" w:lineRule="auto"/>
    </w:pPr>
    <w:rPr>
      <w:rFonts w:ascii="Arial" w:eastAsia="MS Mincho" w:hAnsi="Arial" w:cs="Arial"/>
      <w:kern w:val="0"/>
      <w14:ligatures w14:val="none"/>
    </w:rPr>
  </w:style>
  <w:style w:type="character" w:customStyle="1" w:styleId="Body12ptChar">
    <w:name w:val="Body 12pt Char"/>
    <w:basedOn w:val="DefaultParagraphFont"/>
    <w:link w:val="Body12pt"/>
    <w:rsid w:val="00F878CB"/>
    <w:rPr>
      <w:rFonts w:ascii="Arial" w:eastAsia="MS Mincho" w:hAnsi="Arial" w:cs="Arial"/>
      <w:color w:val="000000"/>
      <w:kern w:val="0"/>
      <w:sz w:val="24"/>
      <w:szCs w:val="24"/>
      <w14:ligatures w14:val="none"/>
    </w:rPr>
  </w:style>
  <w:style w:type="table" w:customStyle="1" w:styleId="SLCTable">
    <w:name w:val="SLC Table"/>
    <w:basedOn w:val="TableNormal"/>
    <w:uiPriority w:val="99"/>
    <w:rsid w:val="004D1529"/>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color w:val="auto"/>
      </w:rPr>
      <w:tblPr/>
      <w:tcPr>
        <w:shd w:val="clear" w:color="auto" w:fill="C7DA80"/>
      </w:tcPr>
    </w:tblStylePr>
    <w:tblStylePr w:type="band1Horz">
      <w:tblPr/>
      <w:tcPr>
        <w:shd w:val="clear" w:color="auto" w:fill="CBD2D2"/>
      </w:tcPr>
    </w:tblStylePr>
    <w:tblStylePr w:type="band2Horz">
      <w:tblPr/>
      <w:tcPr>
        <w:shd w:val="clear" w:color="auto" w:fill="E7EAEA"/>
      </w:tcPr>
    </w:tblStylePr>
  </w:style>
  <w:style w:type="paragraph" w:customStyle="1" w:styleId="Body12ptBold">
    <w:name w:val="Body 12pt Bold"/>
    <w:basedOn w:val="Body12pt"/>
    <w:link w:val="Body12ptBoldChar"/>
    <w:qFormat/>
    <w:rsid w:val="00640135"/>
    <w:rPr>
      <w:b/>
      <w:bCs/>
    </w:rPr>
  </w:style>
  <w:style w:type="character" w:customStyle="1" w:styleId="Body12ptBoldChar">
    <w:name w:val="Body 12pt Bold Char"/>
    <w:basedOn w:val="Body12ptChar"/>
    <w:link w:val="Body12ptBold"/>
    <w:rsid w:val="00640135"/>
    <w:rPr>
      <w:rFonts w:ascii="Arial" w:eastAsia="MS Mincho" w:hAnsi="Arial" w:cs="Arial"/>
      <w:b/>
      <w:bCs/>
      <w:color w:val="000000"/>
      <w:kern w:val="0"/>
      <w:sz w:val="24"/>
      <w:szCs w:val="24"/>
      <w14:ligatures w14:val="none"/>
    </w:rPr>
  </w:style>
  <w:style w:type="table" w:customStyle="1" w:styleId="Calendar1">
    <w:name w:val="Calendar 1"/>
    <w:basedOn w:val="TableNormal"/>
    <w:uiPriority w:val="99"/>
    <w:qFormat/>
    <w:rsid w:val="003C7333"/>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HyperlinkSLC">
    <w:name w:val="Hyperlink SLC"/>
    <w:basedOn w:val="Body12pt"/>
    <w:link w:val="HyperlinkSLCChar"/>
    <w:qFormat/>
    <w:rsid w:val="00DD250E"/>
    <w:rPr>
      <w:b/>
      <w:color w:val="0E2841" w:themeColor="text2"/>
      <w:u w:val="single"/>
    </w:rPr>
  </w:style>
  <w:style w:type="character" w:customStyle="1" w:styleId="HyperlinkSLCChar">
    <w:name w:val="Hyperlink SLC Char"/>
    <w:basedOn w:val="Body12ptChar"/>
    <w:link w:val="HyperlinkSLC"/>
    <w:rsid w:val="00DD250E"/>
    <w:rPr>
      <w:rFonts w:ascii="Arial" w:eastAsia="MS Mincho" w:hAnsi="Arial" w:cs="Arial"/>
      <w:b/>
      <w:color w:val="0E2841" w:themeColor="text2"/>
      <w:kern w:val="0"/>
      <w:sz w:val="24"/>
      <w:szCs w:val="24"/>
      <w:u w:val="single"/>
      <w14:ligatures w14:val="none"/>
    </w:rPr>
  </w:style>
  <w:style w:type="character" w:styleId="Hyperlink">
    <w:name w:val="Hyperlink"/>
    <w:basedOn w:val="DefaultParagraphFont"/>
    <w:uiPriority w:val="99"/>
    <w:unhideWhenUsed/>
    <w:rsid w:val="00DD250E"/>
    <w:rPr>
      <w:color w:val="467886" w:themeColor="hyperlink"/>
      <w:u w:val="single"/>
    </w:rPr>
  </w:style>
  <w:style w:type="character" w:styleId="UnresolvedMention">
    <w:name w:val="Unresolved Mention"/>
    <w:basedOn w:val="DefaultParagraphFont"/>
    <w:uiPriority w:val="99"/>
    <w:semiHidden/>
    <w:unhideWhenUsed/>
    <w:rsid w:val="00DD250E"/>
    <w:rPr>
      <w:color w:val="605E5C"/>
      <w:shd w:val="clear" w:color="auto" w:fill="E1DFDD"/>
    </w:rPr>
  </w:style>
  <w:style w:type="paragraph" w:styleId="Revision">
    <w:name w:val="Revision"/>
    <w:hidden/>
    <w:uiPriority w:val="99"/>
    <w:semiHidden/>
    <w:rsid w:val="009B0319"/>
    <w:pPr>
      <w:spacing w:after="0" w:line="240" w:lineRule="auto"/>
    </w:pPr>
  </w:style>
  <w:style w:type="character" w:styleId="CommentReference">
    <w:name w:val="annotation reference"/>
    <w:basedOn w:val="DefaultParagraphFont"/>
    <w:uiPriority w:val="99"/>
    <w:semiHidden/>
    <w:unhideWhenUsed/>
    <w:rsid w:val="009B0319"/>
    <w:rPr>
      <w:sz w:val="16"/>
      <w:szCs w:val="16"/>
    </w:rPr>
  </w:style>
  <w:style w:type="paragraph" w:styleId="CommentText">
    <w:name w:val="annotation text"/>
    <w:basedOn w:val="Normal"/>
    <w:link w:val="CommentTextChar"/>
    <w:uiPriority w:val="99"/>
    <w:unhideWhenUsed/>
    <w:rsid w:val="009B0319"/>
    <w:pPr>
      <w:spacing w:line="240" w:lineRule="auto"/>
    </w:pPr>
    <w:rPr>
      <w:sz w:val="20"/>
      <w:szCs w:val="20"/>
    </w:rPr>
  </w:style>
  <w:style w:type="character" w:customStyle="1" w:styleId="CommentTextChar">
    <w:name w:val="Comment Text Char"/>
    <w:basedOn w:val="DefaultParagraphFont"/>
    <w:link w:val="CommentText"/>
    <w:uiPriority w:val="99"/>
    <w:rsid w:val="009B0319"/>
    <w:rPr>
      <w:sz w:val="20"/>
      <w:szCs w:val="20"/>
    </w:rPr>
  </w:style>
  <w:style w:type="paragraph" w:styleId="CommentSubject">
    <w:name w:val="annotation subject"/>
    <w:basedOn w:val="CommentText"/>
    <w:next w:val="CommentText"/>
    <w:link w:val="CommentSubjectChar"/>
    <w:uiPriority w:val="99"/>
    <w:semiHidden/>
    <w:unhideWhenUsed/>
    <w:rsid w:val="009B0319"/>
    <w:rPr>
      <w:b/>
      <w:bCs/>
    </w:rPr>
  </w:style>
  <w:style w:type="character" w:customStyle="1" w:styleId="CommentSubjectChar">
    <w:name w:val="Comment Subject Char"/>
    <w:basedOn w:val="CommentTextChar"/>
    <w:link w:val="CommentSubject"/>
    <w:uiPriority w:val="99"/>
    <w:semiHidden/>
    <w:rsid w:val="009B0319"/>
    <w:rPr>
      <w:b/>
      <w:bCs/>
      <w:sz w:val="20"/>
      <w:szCs w:val="20"/>
    </w:rPr>
  </w:style>
  <w:style w:type="paragraph" w:styleId="TOC1">
    <w:name w:val="toc 1"/>
    <w:hidden/>
    <w:uiPriority w:val="39"/>
    <w:rsid w:val="007229C2"/>
    <w:pPr>
      <w:spacing w:after="97"/>
      <w:ind w:left="457" w:right="23" w:hanging="10"/>
    </w:pPr>
    <w:rPr>
      <w:rFonts w:ascii="Calibri" w:eastAsia="Calibri" w:hAnsi="Calibri" w:cs="Calibri"/>
      <w:color w:val="000000"/>
      <w:szCs w:val="24"/>
      <w:lang w:eastAsia="en-GB"/>
    </w:rPr>
  </w:style>
  <w:style w:type="paragraph" w:styleId="TOC2">
    <w:name w:val="toc 2"/>
    <w:hidden/>
    <w:uiPriority w:val="39"/>
    <w:rsid w:val="007229C2"/>
    <w:pPr>
      <w:spacing w:after="97"/>
      <w:ind w:left="1261" w:right="23" w:hanging="10"/>
    </w:pPr>
    <w:rPr>
      <w:rFonts w:ascii="Calibri" w:eastAsia="Calibri" w:hAnsi="Calibri" w:cs="Calibri"/>
      <w:color w:val="000000"/>
      <w:szCs w:val="24"/>
      <w:lang w:eastAsia="en-GB"/>
    </w:rPr>
  </w:style>
  <w:style w:type="table" w:customStyle="1" w:styleId="TableGrid0">
    <w:name w:val="TableGrid"/>
    <w:rsid w:val="007229C2"/>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customStyle="1" w:styleId="SLCReportTitle">
    <w:name w:val="SLC Report Title"/>
    <w:basedOn w:val="Normal"/>
    <w:rsid w:val="00280C92"/>
    <w:pPr>
      <w:autoSpaceDE w:val="0"/>
      <w:autoSpaceDN w:val="0"/>
      <w:adjustRightInd w:val="0"/>
      <w:spacing w:after="160" w:line="259" w:lineRule="auto"/>
      <w:ind w:left="0" w:firstLine="0"/>
    </w:pPr>
    <w:rPr>
      <w:rFonts w:ascii="Arial" w:hAnsi="Arial" w:cs="Verdana"/>
      <w:bCs/>
      <w:color w:val="FFFFFF"/>
      <w:kern w:val="0"/>
      <w:sz w:val="44"/>
      <w:szCs w:val="56"/>
      <w:lang w:eastAsia="en-US"/>
      <w14:ligatures w14:val="none"/>
    </w:rPr>
  </w:style>
  <w:style w:type="paragraph" w:customStyle="1" w:styleId="SLCDocStatus">
    <w:name w:val="SLC Doc Status"/>
    <w:basedOn w:val="Normal"/>
    <w:rsid w:val="00280C92"/>
    <w:pPr>
      <w:spacing w:before="60" w:after="60" w:line="259" w:lineRule="auto"/>
      <w:ind w:left="0" w:firstLine="0"/>
    </w:pPr>
    <w:rPr>
      <w:rFonts w:ascii="Arial" w:hAnsi="Arial" w:cs="Times New Roman"/>
      <w:spacing w:val="-5"/>
      <w:kern w:val="0"/>
      <w:sz w:val="22"/>
      <w:szCs w:val="22"/>
      <w:lang w:eastAsia="en-US"/>
      <w14:ligatures w14:val="none"/>
    </w:rPr>
  </w:style>
  <w:style w:type="paragraph" w:customStyle="1" w:styleId="SLCDocDate">
    <w:name w:val="SLC Doc Date"/>
    <w:basedOn w:val="Normal"/>
    <w:rsid w:val="00280C92"/>
    <w:pPr>
      <w:spacing w:before="120" w:after="120" w:line="259" w:lineRule="auto"/>
      <w:ind w:left="0" w:firstLine="0"/>
    </w:pPr>
    <w:rPr>
      <w:rFonts w:ascii="Arial" w:hAnsi="Arial" w:cs="Times New Roman"/>
      <w:spacing w:val="-5"/>
      <w:kern w:val="0"/>
      <w:sz w:val="20"/>
      <w:szCs w:val="22"/>
      <w:lang w:eastAsia="en-US"/>
      <w14:ligatures w14:val="none"/>
    </w:rPr>
  </w:style>
  <w:style w:type="table" w:styleId="GridTable2-Accent1">
    <w:name w:val="Grid Table 2 Accent 1"/>
    <w:basedOn w:val="TableNormal"/>
    <w:uiPriority w:val="47"/>
    <w:rsid w:val="00280C92"/>
    <w:pPr>
      <w:spacing w:after="0" w:line="240" w:lineRule="auto"/>
    </w:pPr>
    <w:rPr>
      <w:rFonts w:ascii="Cambria" w:eastAsia="MS Mincho" w:hAnsi="Cambria" w:cs="Times New Roman"/>
      <w:kern w:val="0"/>
      <w:sz w:val="20"/>
      <w:szCs w:val="20"/>
      <w14:ligatures w14:val="none"/>
    </w:rPr>
    <w:tblPr>
      <w:tblStyleRowBandSize w:val="1"/>
      <w:tblStyleColBandSize w:val="1"/>
      <w:tblBorders>
        <w:top w:val="single" w:sz="2" w:space="0" w:color="06FFFF" w:themeColor="accent1" w:themeTint="99"/>
        <w:bottom w:val="single" w:sz="2" w:space="0" w:color="06FFFF" w:themeColor="accent1" w:themeTint="99"/>
        <w:insideH w:val="single" w:sz="2" w:space="0" w:color="06FFFF" w:themeColor="accent1" w:themeTint="99"/>
        <w:insideV w:val="single" w:sz="2" w:space="0" w:color="06FFFF" w:themeColor="accent1" w:themeTint="99"/>
      </w:tblBorders>
    </w:tblPr>
    <w:tblStylePr w:type="firstRow">
      <w:rPr>
        <w:b/>
        <w:bCs/>
      </w:rPr>
      <w:tblPr/>
      <w:tcPr>
        <w:tcBorders>
          <w:top w:val="nil"/>
          <w:bottom w:val="single" w:sz="12" w:space="0" w:color="06FFFF" w:themeColor="accent1" w:themeTint="99"/>
          <w:insideH w:val="nil"/>
          <w:insideV w:val="nil"/>
        </w:tcBorders>
        <w:shd w:val="clear" w:color="auto" w:fill="FFFFFF" w:themeFill="background1"/>
      </w:tcPr>
    </w:tblStylePr>
    <w:tblStylePr w:type="lastRow">
      <w:rPr>
        <w:b/>
        <w:bCs/>
      </w:rPr>
      <w:tblPr/>
      <w:tcPr>
        <w:tcBorders>
          <w:top w:val="double" w:sz="2" w:space="0" w:color="06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FFFF" w:themeFill="accent1" w:themeFillTint="33"/>
      </w:tcPr>
    </w:tblStylePr>
    <w:tblStylePr w:type="band1Horz">
      <w:tblPr/>
      <w:tcPr>
        <w:shd w:val="clear" w:color="auto" w:fill="ACFFFF" w:themeFill="accent1" w:themeFillTint="33"/>
      </w:tcPr>
    </w:tblStylePr>
  </w:style>
  <w:style w:type="paragraph" w:styleId="NormalWeb">
    <w:name w:val="Normal (Web)"/>
    <w:basedOn w:val="Normal"/>
    <w:uiPriority w:val="99"/>
    <w:semiHidden/>
    <w:unhideWhenUsed/>
    <w:rsid w:val="006908DC"/>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6908DC"/>
    <w:rPr>
      <w:b/>
      <w:bCs/>
    </w:rPr>
  </w:style>
  <w:style w:type="character" w:styleId="Mention">
    <w:name w:val="Mention"/>
    <w:basedOn w:val="DefaultParagraphFont"/>
    <w:uiPriority w:val="99"/>
    <w:unhideWhenUsed/>
    <w:rsid w:val="00A17484"/>
    <w:rPr>
      <w:color w:val="2B579A"/>
      <w:shd w:val="clear" w:color="auto" w:fill="E1DFDD"/>
    </w:rPr>
  </w:style>
  <w:style w:type="character" w:customStyle="1" w:styleId="cf01">
    <w:name w:val="cf01"/>
    <w:basedOn w:val="DefaultParagraphFont"/>
    <w:rsid w:val="003268A9"/>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5879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5614">
      <w:bodyDiv w:val="1"/>
      <w:marLeft w:val="0"/>
      <w:marRight w:val="0"/>
      <w:marTop w:val="0"/>
      <w:marBottom w:val="0"/>
      <w:divBdr>
        <w:top w:val="none" w:sz="0" w:space="0" w:color="auto"/>
        <w:left w:val="none" w:sz="0" w:space="0" w:color="auto"/>
        <w:bottom w:val="none" w:sz="0" w:space="0" w:color="auto"/>
        <w:right w:val="none" w:sz="0" w:space="0" w:color="auto"/>
      </w:divBdr>
    </w:div>
    <w:div w:id="9245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info.slc.co.uk/lle/lle-resources/" TargetMode="External"/><Relationship Id="rId18" Type="http://schemas.openxmlformats.org/officeDocument/2006/relationships/hyperlink" Target="https://www.heinfo.slc.co.uk/contact/regional-support/" TargetMode="External"/><Relationship Id="rId26" Type="http://schemas.openxmlformats.org/officeDocument/2006/relationships/hyperlink" Target="https://www.heinfo.slc.co.uk/contact/hep-account-managers/" TargetMode="External"/><Relationship Id="rId39" Type="http://schemas.openxmlformats.org/officeDocument/2006/relationships/hyperlink" Target="https://www.heinfo.slc.co.uk/contact/contact-us/" TargetMode="External"/><Relationship Id="rId21" Type="http://schemas.openxmlformats.org/officeDocument/2006/relationships/hyperlink" Target="https://www.heinfo.slc.co.uk/resources/guidance" TargetMode="External"/><Relationship Id="rId34" Type="http://schemas.openxmlformats.org/officeDocument/2006/relationships/hyperlink" Target="https://www.heinfo.slc.co.uk/resources/guidance/student-information-service-user-guide/" TargetMode="External"/><Relationship Id="rId42" Type="http://schemas.openxmlformats.org/officeDocument/2006/relationships/hyperlink" Target="https://www.heinfo.slc.co.uk/lle/lle-resource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info.slc.co.uk/contact/hep-account-managers/" TargetMode="External"/><Relationship Id="rId29" Type="http://schemas.openxmlformats.org/officeDocument/2006/relationships/hyperlink" Target="file:///C:\Users\liddelpe\AppData\Local\Microsoft\Windows\INetCache\Content.Outlook\RMFIY644\x" TargetMode="External"/><Relationship Id="rId11" Type="http://schemas.openxmlformats.org/officeDocument/2006/relationships/image" Target="media/image1.emf"/><Relationship Id="rId24" Type="http://schemas.openxmlformats.org/officeDocument/2006/relationships/hyperlink" Target="https://www.heinfo.slc.co.uk/resources/guidance" TargetMode="External"/><Relationship Id="rId32" Type="http://schemas.openxmlformats.org/officeDocument/2006/relationships/hyperlink" Target="https://www.heinfo.slc.co.uk/resources/guidance/student-information-service-user-guide/" TargetMode="External"/><Relationship Id="rId37" Type="http://schemas.openxmlformats.org/officeDocument/2006/relationships/hyperlink" Target="https://secure.heservices.slc.co.uk/" TargetMode="External"/><Relationship Id="rId40" Type="http://schemas.openxmlformats.org/officeDocument/2006/relationships/hyperlink" Target="https://www.heinfo.slc.co.uk/contact/contact-u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info.slc.co.uk/" TargetMode="External"/><Relationship Id="rId23" Type="http://schemas.openxmlformats.org/officeDocument/2006/relationships/hyperlink" Target="https://www.heinfo.slc.co.uk/contact/hep-account-managers/" TargetMode="External"/><Relationship Id="rId28" Type="http://schemas.openxmlformats.org/officeDocument/2006/relationships/hyperlink" Target="https://secure.heservices.slc.co.uk/" TargetMode="External"/><Relationship Id="rId36" Type="http://schemas.openxmlformats.org/officeDocument/2006/relationships/hyperlink" Target="https://www.heinfo.slc.co.uk/resources/guidance/student-information-service-user-guid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info.slc.co.uk/contact/regional-support/" TargetMode="External"/><Relationship Id="rId31" Type="http://schemas.openxmlformats.org/officeDocument/2006/relationships/hyperlink" Target="https://www.heinfo.slc.co.uk/resources/guidance/student-information-service-user-guide/"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heinfo.slc.co.uk%2Fhep-services%2Fjoint-slc-and-hep-service-agreement.aspx&amp;data=04%7C01%7CHamish_Bannerman%40slc.co.uk%7C258064d9eee44497b5f008d98809a5d9%7C4c6898a98fca42f9aa9282cb3e252bc6%7C0%7C0%7C637690397278739910%7CUnknown%7CTWFpbGZsb3d8eyJWIjoiMC4wLjAwMDAiLCJQIjoiV2luMzIiLCJBTiI6Ik1haWwiLCJXVCI6Mn0%3D%7C1000&amp;sdata=8wwdZN2KSu1VnGpFVfE77d40sAbdoKRZOw%2FYitJUKrk%3D&amp;reserved=0" TargetMode="External"/><Relationship Id="rId22" Type="http://schemas.openxmlformats.org/officeDocument/2006/relationships/hyperlink" Target="https://www.heinfo.slc.co.uk/resources/guidance" TargetMode="External"/><Relationship Id="rId27" Type="http://schemas.openxmlformats.org/officeDocument/2006/relationships/hyperlink" Target="https://www.heinfo.slc.co.uk/contact/regional-support/" TargetMode="External"/><Relationship Id="rId30" Type="http://schemas.openxmlformats.org/officeDocument/2006/relationships/hyperlink" Target="https://www.heinfo.slc.co.uk/resources/guidance/student-information-service-user-guide/" TargetMode="External"/><Relationship Id="rId35" Type="http://schemas.openxmlformats.org/officeDocument/2006/relationships/hyperlink" Target="https://www.heinfo.slc.co.uk/contact/hep-account-manager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heinfo.slc.co.uk/" TargetMode="External"/><Relationship Id="rId25" Type="http://schemas.openxmlformats.org/officeDocument/2006/relationships/hyperlink" Target="mailto:hep_services@slc.co.uk" TargetMode="External"/><Relationship Id="rId33" Type="http://schemas.openxmlformats.org/officeDocument/2006/relationships/hyperlink" Target="https://www.heinfo.slc.co.uk/resources/guidance/student-information-service-user-guide/" TargetMode="External"/><Relationship Id="rId38" Type="http://schemas.openxmlformats.org/officeDocument/2006/relationships/hyperlink" Target="https://www.heinfo.slc.co.uk/resources/guidance/student-information-service-user-guide/change-of-circumstances/withdrawal-coc/" TargetMode="External"/><Relationship Id="rId46" Type="http://schemas.openxmlformats.org/officeDocument/2006/relationships/footer" Target="footer2.xml"/><Relationship Id="rId20" Type="http://schemas.openxmlformats.org/officeDocument/2006/relationships/hyperlink" Target="https://www.heinfo.slc.co.uk/contact/regional-support/" TargetMode="External"/><Relationship Id="rId41" Type="http://schemas.openxmlformats.org/officeDocument/2006/relationships/hyperlink" Target="https://www.heinfo.slc.co.uk/contact/contact-u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LC Office Theme">
      <a:dk1>
        <a:sysClr val="windowText" lastClr="000000"/>
      </a:dk1>
      <a:lt1>
        <a:sysClr val="window" lastClr="FFFFFF"/>
      </a:lt1>
      <a:dk2>
        <a:srgbClr val="0E2841"/>
      </a:dk2>
      <a:lt2>
        <a:srgbClr val="E8E8E8"/>
      </a:lt2>
      <a:accent1>
        <a:srgbClr val="006060"/>
      </a:accent1>
      <a:accent2>
        <a:srgbClr val="E97132"/>
      </a:accent2>
      <a:accent3>
        <a:srgbClr val="AACA3D"/>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5B1BFDCFDEB041B0E5FE9F169E723E" ma:contentTypeVersion="23" ma:contentTypeDescription="Create a new document." ma:contentTypeScope="" ma:versionID="c769d418574d328508f8111d7cdbc34d">
  <xsd:schema xmlns:xsd="http://www.w3.org/2001/XMLSchema" xmlns:xs="http://www.w3.org/2001/XMLSchema" xmlns:p="http://schemas.microsoft.com/office/2006/metadata/properties" xmlns:ns2="3decbedb-581c-4329-8458-0d1ebc9973d6" xmlns:ns3="c140de91-a19c-40fe-91ab-cf961978cf3b" xmlns:ns4="8c566321-f672-4e06-a901-b5e72b4c4357" targetNamespace="http://schemas.microsoft.com/office/2006/metadata/properties" ma:root="true" ma:fieldsID="31da7987244d54c1da4ae3f1f9b9f2d1" ns2:_="" ns3:_="" ns4:_="">
    <xsd:import namespace="3decbedb-581c-4329-8458-0d1ebc9973d6"/>
    <xsd:import namespace="c140de91-a19c-40fe-91ab-cf961978cf3b"/>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4:TaxCatchAll" minOccurs="0"/>
                <xsd:element ref="ns2:Source" minOccurs="0"/>
                <xsd:element ref="ns2:Usages" minOccurs="0"/>
                <xsd:element ref="ns2:MediaLengthInSeconds" minOccurs="0"/>
                <xsd:element ref="ns2:MediaServiceObjectDetectorVersions" minOccurs="0"/>
                <xsd:element ref="ns2:MediaServiceSearchProperties"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cbedb-581c-4329-8458-0d1ebc997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Source" ma:index="23" nillable="true" ma:displayName="Source" ma:format="Dropdown" ma:internalName="Source">
      <xsd:simpleType>
        <xsd:restriction base="dms:Text">
          <xsd:maxLength value="255"/>
        </xsd:restriction>
      </xsd:simpleType>
    </xsd:element>
    <xsd:element name="Usages" ma:index="24" nillable="true" ma:displayName="Usages" ma:internalName="Usages">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trainfo" ma:index="28"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0de91-a19c-40fe-91ab-cf961978c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bb1eeb-9ea7-4bdc-82d5-e8fd503da75e}" ma:internalName="TaxCatchAll" ma:showField="CatchAllData" ma:web="c140de91-a19c-40fe-91ab-cf961978c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3decbedb-581c-4329-8458-0d1ebc9973d6">
      <Terms xmlns="http://schemas.microsoft.com/office/infopath/2007/PartnerControls"/>
    </lcf76f155ced4ddcb4097134ff3c332f>
    <Source xmlns="3decbedb-581c-4329-8458-0d1ebc9973d6" xsi:nil="true"/>
    <Usages xmlns="3decbedb-581c-4329-8458-0d1ebc9973d6" xsi:nil="true"/>
    <Extrainfo xmlns="3decbedb-581c-4329-8458-0d1ebc9973d6" xsi:nil="true"/>
  </documentManagement>
</p:properties>
</file>

<file path=customXml/itemProps1.xml><?xml version="1.0" encoding="utf-8"?>
<ds:datastoreItem xmlns:ds="http://schemas.openxmlformats.org/officeDocument/2006/customXml" ds:itemID="{727BED50-B98F-409F-AFC1-4F3E235813F7}">
  <ds:schemaRefs>
    <ds:schemaRef ds:uri="http://schemas.microsoft.com/sharepoint/v3/contenttype/forms"/>
  </ds:schemaRefs>
</ds:datastoreItem>
</file>

<file path=customXml/itemProps2.xml><?xml version="1.0" encoding="utf-8"?>
<ds:datastoreItem xmlns:ds="http://schemas.openxmlformats.org/officeDocument/2006/customXml" ds:itemID="{4F1EDD3C-24B7-4085-8C27-9B8694A1D1A0}">
  <ds:schemaRefs>
    <ds:schemaRef ds:uri="http://schemas.openxmlformats.org/officeDocument/2006/bibliography"/>
  </ds:schemaRefs>
</ds:datastoreItem>
</file>

<file path=customXml/itemProps3.xml><?xml version="1.0" encoding="utf-8"?>
<ds:datastoreItem xmlns:ds="http://schemas.openxmlformats.org/officeDocument/2006/customXml" ds:itemID="{90FE4478-281D-461D-988F-13F8F016A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cbedb-581c-4329-8458-0d1ebc9973d6"/>
    <ds:schemaRef ds:uri="c140de91-a19c-40fe-91ab-cf961978cf3b"/>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47319-E556-47E9-8D7F-8D720CD83F8D}">
  <ds:schemaRefs>
    <ds:schemaRef ds:uri="http://schemas.microsoft.com/office/2006/metadata/properties"/>
    <ds:schemaRef ds:uri="http://schemas.microsoft.com/office/infopath/2007/PartnerControls"/>
    <ds:schemaRef ds:uri="8c566321-f672-4e06-a901-b5e72b4c4357"/>
    <ds:schemaRef ds:uri="3decbedb-581c-4329-8458-0d1ebc9973d6"/>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24</Pages>
  <Words>7752</Words>
  <Characters>44187</Characters>
  <Application>Microsoft Office Word</Application>
  <DocSecurity>0</DocSecurity>
  <Lines>368</Lines>
  <Paragraphs>103</Paragraphs>
  <ScaleCrop>false</ScaleCrop>
  <Company>Student Loans Company</Company>
  <LinksUpToDate>false</LinksUpToDate>
  <CharactersWithSpaces>51836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LLE Registration, Attendance anbd hange of Cicumstances Service Definition</dc:title>
  <dc:subject>LLE</dc:subject>
  <dc:creator>Jim Kersse</dc:creator>
  <cp:keywords>LLE</cp:keywords>
  <dc:description/>
  <cp:lastModifiedBy>Oonagh White</cp:lastModifiedBy>
  <cp:revision>4</cp:revision>
  <cp:lastPrinted>2025-11-26T14:01:00Z</cp:lastPrinted>
  <dcterms:created xsi:type="dcterms:W3CDTF">2026-05-07T12:45:00Z</dcterms:created>
  <dcterms:modified xsi:type="dcterms:W3CDTF">2026-05-12T12:56:00Z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0x010100845B1BFDCFDEB041B0E5FE9F169E723E</vt:lpwstr>
  </property>
  <property fmtid="{D5CDD505-2E9C-101B-9397-08002B2CF9AE}" pid="3" name="MediaServiceImageTags">
    <vt:lpwstr/>
  </property>
  <property fmtid="{D5CDD505-2E9C-101B-9397-08002B2CF9AE}" pid="4" name="ClassificationContentMarkingHeaderShapeIds">
    <vt:lpwstr>18b30a38,31610ebe,4ca2f1db</vt:lpwstr>
  </property>
  <property fmtid="{D5CDD505-2E9C-101B-9397-08002B2CF9AE}" pid="5" name="ClassificationContentMarkingHeaderFontProps">
    <vt:lpwstr>#000000,11,Aptos</vt:lpwstr>
  </property>
  <property fmtid="{D5CDD505-2E9C-101B-9397-08002B2CF9AE}" pid="6" name="ClassificationContentMarkingHeaderText">
    <vt:lpwstr>OFFICIAL SENSITIVE</vt:lpwstr>
  </property>
  <property fmtid="{D5CDD505-2E9C-101B-9397-08002B2CF9AE}" pid="7" name="ClassificationContentMarkingFooterShapeIds">
    <vt:lpwstr>74c43261,19b7302b,f01c805</vt:lpwstr>
  </property>
  <property fmtid="{D5CDD505-2E9C-101B-9397-08002B2CF9AE}" pid="8" name="ClassificationContentMarkingFooterFontProps">
    <vt:lpwstr>#000000,9,Aptos</vt:lpwstr>
  </property>
  <property fmtid="{D5CDD505-2E9C-101B-9397-08002B2CF9AE}" pid="9" name="ClassificationContentMarkingFooterText">
    <vt:lpwstr>OFFICIAL SENSITIVE</vt:lpwstr>
  </property>
  <property fmtid="{D5CDD505-2E9C-101B-9397-08002B2CF9AE}" pid="10" name="MSIP_Label_2ddcb799-c1d8-44bc-a056-ebeadaa1f553_Enabled">
    <vt:lpwstr>true</vt:lpwstr>
  </property>
  <property fmtid="{D5CDD505-2E9C-101B-9397-08002B2CF9AE}" pid="11" name="MSIP_Label_2ddcb799-c1d8-44bc-a056-ebeadaa1f553_SetDate">
    <vt:lpwstr>2026-03-24T06:58:15Z</vt:lpwstr>
  </property>
  <property fmtid="{D5CDD505-2E9C-101B-9397-08002B2CF9AE}" pid="12" name="MSIP_Label_2ddcb799-c1d8-44bc-a056-ebeadaa1f553_Method">
    <vt:lpwstr>Privileged</vt:lpwstr>
  </property>
  <property fmtid="{D5CDD505-2E9C-101B-9397-08002B2CF9AE}" pid="13" name="MSIP_Label_2ddcb799-c1d8-44bc-a056-ebeadaa1f553_Name">
    <vt:lpwstr>OFFICIAL SENSITIVE - LEVEL 1</vt:lpwstr>
  </property>
  <property fmtid="{D5CDD505-2E9C-101B-9397-08002B2CF9AE}" pid="14" name="MSIP_Label_2ddcb799-c1d8-44bc-a056-ebeadaa1f553_SiteId">
    <vt:lpwstr>4c6898a9-8fca-42f9-aa92-82cb3e252bc6</vt:lpwstr>
  </property>
  <property fmtid="{D5CDD505-2E9C-101B-9397-08002B2CF9AE}" pid="15" name="MSIP_Label_2ddcb799-c1d8-44bc-a056-ebeadaa1f553_ActionId">
    <vt:lpwstr>111572e8-9369-4194-90f0-41c244964f78</vt:lpwstr>
  </property>
  <property fmtid="{D5CDD505-2E9C-101B-9397-08002B2CF9AE}" pid="16" name="MSIP_Label_2ddcb799-c1d8-44bc-a056-ebeadaa1f553_ContentBits">
    <vt:lpwstr>3</vt:lpwstr>
  </property>
  <property fmtid="{D5CDD505-2E9C-101B-9397-08002B2CF9AE}" pid="17" name="MSIP_Label_2ddcb799-c1d8-44bc-a056-ebeadaa1f553_Tag">
    <vt:lpwstr>10, 0, 1, 1</vt:lpwstr>
  </property>
</Properties>
</file>